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32" w:rsidRPr="00DE0211" w:rsidRDefault="00DE0211" w:rsidP="00DE0211">
      <w:pPr>
        <w:jc w:val="right"/>
        <w:rPr>
          <w:rFonts w:ascii="Times New Roman" w:hAnsi="Times New Roman" w:cs="Times New Roman"/>
          <w:sz w:val="28"/>
          <w:szCs w:val="28"/>
        </w:rPr>
      </w:pPr>
      <w:r w:rsidRPr="00DE0211">
        <w:rPr>
          <w:rFonts w:ascii="Times New Roman" w:hAnsi="Times New Roman" w:cs="Times New Roman"/>
          <w:sz w:val="28"/>
          <w:szCs w:val="28"/>
        </w:rPr>
        <w:t>Форма</w:t>
      </w:r>
    </w:p>
    <w:p w:rsidR="00DE0211" w:rsidRDefault="00DE0211" w:rsidP="00DE0211">
      <w:pPr>
        <w:jc w:val="center"/>
        <w:rPr>
          <w:rFonts w:ascii="Times New Roman" w:hAnsi="Times New Roman" w:cs="Times New Roman"/>
          <w:b/>
          <w:sz w:val="28"/>
          <w:szCs w:val="28"/>
        </w:rPr>
      </w:pPr>
      <w:r w:rsidRPr="00DE0211">
        <w:rPr>
          <w:rFonts w:ascii="Times New Roman" w:hAnsi="Times New Roman" w:cs="Times New Roman"/>
          <w:b/>
          <w:sz w:val="28"/>
          <w:szCs w:val="28"/>
        </w:rPr>
        <w:t xml:space="preserve">Сравнительная таблица </w:t>
      </w:r>
    </w:p>
    <w:p w:rsidR="00DE0211" w:rsidRPr="00DE0211" w:rsidRDefault="00DE0211" w:rsidP="00DE0211">
      <w:pPr>
        <w:jc w:val="center"/>
        <w:rPr>
          <w:rFonts w:ascii="Times New Roman" w:hAnsi="Times New Roman" w:cs="Times New Roman"/>
          <w:b/>
          <w:sz w:val="28"/>
          <w:szCs w:val="28"/>
        </w:rPr>
      </w:pPr>
      <w:r w:rsidRPr="00DE0211">
        <w:rPr>
          <w:rFonts w:ascii="Times New Roman" w:hAnsi="Times New Roman" w:cs="Times New Roman"/>
          <w:b/>
          <w:sz w:val="28"/>
          <w:szCs w:val="28"/>
        </w:rPr>
        <w:t>по внесению изменений и дополнений в налоговое законодательство</w:t>
      </w:r>
    </w:p>
    <w:tbl>
      <w:tblPr>
        <w:tblStyle w:val="a3"/>
        <w:tblW w:w="16018" w:type="dxa"/>
        <w:tblInd w:w="-572" w:type="dxa"/>
        <w:tblLayout w:type="fixed"/>
        <w:tblLook w:val="04A0" w:firstRow="1" w:lastRow="0" w:firstColumn="1" w:lastColumn="0" w:noHBand="0" w:noVBand="1"/>
      </w:tblPr>
      <w:tblGrid>
        <w:gridCol w:w="709"/>
        <w:gridCol w:w="1701"/>
        <w:gridCol w:w="3260"/>
        <w:gridCol w:w="3544"/>
        <w:gridCol w:w="4111"/>
        <w:gridCol w:w="2693"/>
      </w:tblGrid>
      <w:tr w:rsidR="004C0EEA" w:rsidRPr="00DE0211" w:rsidTr="004C0EEA">
        <w:tc>
          <w:tcPr>
            <w:tcW w:w="709" w:type="dxa"/>
          </w:tcPr>
          <w:p w:rsidR="004C0EEA" w:rsidRPr="004C0EEA" w:rsidRDefault="004C0EEA" w:rsidP="004C0EEA">
            <w:pPr>
              <w:rPr>
                <w:rFonts w:ascii="Times New Roman" w:hAnsi="Times New Roman" w:cs="Times New Roman"/>
                <w:b/>
                <w:sz w:val="28"/>
                <w:szCs w:val="28"/>
              </w:rPr>
            </w:pPr>
            <w:r w:rsidRPr="004C0EEA">
              <w:rPr>
                <w:rFonts w:ascii="Times New Roman" w:hAnsi="Times New Roman" w:cs="Times New Roman"/>
                <w:b/>
                <w:sz w:val="28"/>
                <w:szCs w:val="28"/>
              </w:rPr>
              <w:t>№</w:t>
            </w:r>
          </w:p>
        </w:tc>
        <w:tc>
          <w:tcPr>
            <w:tcW w:w="1701" w:type="dxa"/>
          </w:tcPr>
          <w:p w:rsidR="004C0EEA" w:rsidRPr="00DE0211" w:rsidRDefault="004C0EEA" w:rsidP="00DE0211">
            <w:pPr>
              <w:jc w:val="center"/>
              <w:rPr>
                <w:rFonts w:ascii="Times New Roman" w:hAnsi="Times New Roman" w:cs="Times New Roman"/>
                <w:b/>
                <w:sz w:val="28"/>
                <w:szCs w:val="28"/>
              </w:rPr>
            </w:pPr>
            <w:r w:rsidRPr="00DE0211">
              <w:rPr>
                <w:rFonts w:ascii="Times New Roman" w:hAnsi="Times New Roman" w:cs="Times New Roman"/>
                <w:b/>
                <w:sz w:val="28"/>
                <w:szCs w:val="28"/>
              </w:rPr>
              <w:t>Структурный элемент</w:t>
            </w:r>
          </w:p>
        </w:tc>
        <w:tc>
          <w:tcPr>
            <w:tcW w:w="3260" w:type="dxa"/>
          </w:tcPr>
          <w:p w:rsidR="004C0EEA" w:rsidRPr="00DE0211" w:rsidRDefault="004C0EEA" w:rsidP="00DE0211">
            <w:pPr>
              <w:jc w:val="center"/>
              <w:rPr>
                <w:rFonts w:ascii="Times New Roman" w:hAnsi="Times New Roman" w:cs="Times New Roman"/>
                <w:b/>
                <w:sz w:val="28"/>
                <w:szCs w:val="28"/>
              </w:rPr>
            </w:pPr>
            <w:r w:rsidRPr="00DE0211">
              <w:rPr>
                <w:rFonts w:ascii="Times New Roman" w:hAnsi="Times New Roman" w:cs="Times New Roman"/>
                <w:b/>
                <w:sz w:val="28"/>
                <w:szCs w:val="28"/>
              </w:rPr>
              <w:t>Действующая редакция</w:t>
            </w:r>
          </w:p>
        </w:tc>
        <w:tc>
          <w:tcPr>
            <w:tcW w:w="3544" w:type="dxa"/>
          </w:tcPr>
          <w:p w:rsidR="004C0EEA" w:rsidRPr="00DE0211" w:rsidRDefault="004C0EEA" w:rsidP="00DE0211">
            <w:pPr>
              <w:jc w:val="center"/>
              <w:rPr>
                <w:rFonts w:ascii="Times New Roman" w:hAnsi="Times New Roman" w:cs="Times New Roman"/>
                <w:b/>
                <w:sz w:val="28"/>
                <w:szCs w:val="28"/>
              </w:rPr>
            </w:pPr>
            <w:r w:rsidRPr="00DE0211">
              <w:rPr>
                <w:rFonts w:ascii="Times New Roman" w:hAnsi="Times New Roman" w:cs="Times New Roman"/>
                <w:b/>
                <w:sz w:val="28"/>
                <w:szCs w:val="28"/>
              </w:rPr>
              <w:t>Предлагаемая редакция</w:t>
            </w:r>
          </w:p>
        </w:tc>
        <w:tc>
          <w:tcPr>
            <w:tcW w:w="4111" w:type="dxa"/>
          </w:tcPr>
          <w:p w:rsidR="004C0EEA" w:rsidRPr="00DE0211" w:rsidRDefault="004C0EEA" w:rsidP="00DE0211">
            <w:pPr>
              <w:jc w:val="center"/>
              <w:rPr>
                <w:rFonts w:ascii="Times New Roman" w:hAnsi="Times New Roman" w:cs="Times New Roman"/>
                <w:b/>
                <w:sz w:val="28"/>
                <w:szCs w:val="28"/>
              </w:rPr>
            </w:pPr>
            <w:r w:rsidRPr="00DE0211">
              <w:rPr>
                <w:rFonts w:ascii="Times New Roman" w:hAnsi="Times New Roman" w:cs="Times New Roman"/>
                <w:b/>
                <w:sz w:val="28"/>
                <w:szCs w:val="28"/>
              </w:rPr>
              <w:t>Автор и обоснование</w:t>
            </w:r>
          </w:p>
        </w:tc>
        <w:tc>
          <w:tcPr>
            <w:tcW w:w="2693" w:type="dxa"/>
          </w:tcPr>
          <w:p w:rsidR="004C0EEA" w:rsidRPr="00DE0211" w:rsidRDefault="004C0EEA" w:rsidP="00DE0211">
            <w:pPr>
              <w:jc w:val="center"/>
              <w:rPr>
                <w:rFonts w:ascii="Times New Roman" w:hAnsi="Times New Roman" w:cs="Times New Roman"/>
                <w:b/>
                <w:sz w:val="28"/>
                <w:szCs w:val="28"/>
              </w:rPr>
            </w:pPr>
          </w:p>
        </w:tc>
      </w:tr>
      <w:tr w:rsidR="004C0EEA" w:rsidRPr="003F2054" w:rsidTr="004C0EEA">
        <w:tc>
          <w:tcPr>
            <w:tcW w:w="709" w:type="dxa"/>
          </w:tcPr>
          <w:p w:rsidR="004C0EEA" w:rsidRPr="004C0EEA" w:rsidRDefault="004C0EEA" w:rsidP="004C0EEA">
            <w:pPr>
              <w:pStyle w:val="a5"/>
              <w:numPr>
                <w:ilvl w:val="0"/>
                <w:numId w:val="3"/>
              </w:numPr>
              <w:ind w:left="0" w:firstLine="0"/>
              <w:jc w:val="both"/>
              <w:rPr>
                <w:rFonts w:ascii="Times New Roman" w:hAnsi="Times New Roman" w:cs="Times New Roman"/>
                <w:color w:val="000000"/>
                <w:sz w:val="24"/>
                <w:szCs w:val="24"/>
              </w:rPr>
            </w:pPr>
          </w:p>
        </w:tc>
        <w:tc>
          <w:tcPr>
            <w:tcW w:w="1701" w:type="dxa"/>
          </w:tcPr>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 xml:space="preserve">Подпункт </w:t>
            </w:r>
            <w:r>
              <w:rPr>
                <w:rFonts w:ascii="Times New Roman" w:hAnsi="Times New Roman" w:cs="Times New Roman"/>
                <w:color w:val="000000"/>
                <w:sz w:val="24"/>
                <w:szCs w:val="24"/>
              </w:rPr>
              <w:t>76</w:t>
            </w:r>
            <w:r w:rsidRPr="003F2054">
              <w:rPr>
                <w:rFonts w:ascii="Times New Roman" w:hAnsi="Times New Roman" w:cs="Times New Roman"/>
                <w:color w:val="000000"/>
                <w:sz w:val="24"/>
                <w:szCs w:val="24"/>
              </w:rPr>
              <w:t xml:space="preserve">) пункта </w:t>
            </w:r>
            <w:r>
              <w:rPr>
                <w:rFonts w:ascii="Times New Roman" w:hAnsi="Times New Roman" w:cs="Times New Roman"/>
                <w:color w:val="000000"/>
                <w:sz w:val="24"/>
                <w:szCs w:val="24"/>
              </w:rPr>
              <w:t>1</w:t>
            </w:r>
            <w:r w:rsidRPr="003F2054">
              <w:rPr>
                <w:rFonts w:ascii="Times New Roman" w:hAnsi="Times New Roman" w:cs="Times New Roman"/>
                <w:color w:val="000000"/>
                <w:sz w:val="24"/>
                <w:szCs w:val="24"/>
              </w:rPr>
              <w:t xml:space="preserve"> статьи </w:t>
            </w:r>
            <w:r>
              <w:rPr>
                <w:rFonts w:ascii="Times New Roman" w:hAnsi="Times New Roman" w:cs="Times New Roman"/>
                <w:color w:val="000000"/>
                <w:sz w:val="24"/>
                <w:szCs w:val="24"/>
              </w:rPr>
              <w:t>1</w:t>
            </w:r>
            <w:r w:rsidRPr="003F2054">
              <w:rPr>
                <w:rFonts w:ascii="Times New Roman" w:hAnsi="Times New Roman" w:cs="Times New Roman"/>
                <w:color w:val="000000"/>
                <w:sz w:val="24"/>
                <w:szCs w:val="24"/>
              </w:rPr>
              <w:t xml:space="preserve"> Налогового Кодекса</w:t>
            </w:r>
          </w:p>
        </w:tc>
        <w:tc>
          <w:tcPr>
            <w:tcW w:w="3260" w:type="dxa"/>
          </w:tcPr>
          <w:p w:rsidR="004C0EEA" w:rsidRPr="004522FE" w:rsidRDefault="004C0EEA" w:rsidP="004C0EEA">
            <w:pPr>
              <w:shd w:val="clear" w:color="auto" w:fill="FFFFFF" w:themeFill="background1"/>
              <w:ind w:firstLine="709"/>
              <w:jc w:val="both"/>
              <w:rPr>
                <w:rFonts w:ascii="Times New Roman" w:eastAsia="Times New Roman" w:hAnsi="Times New Roman" w:cs="Times New Roman"/>
                <w:b/>
                <w:spacing w:val="2"/>
                <w:sz w:val="24"/>
                <w:szCs w:val="24"/>
              </w:rPr>
            </w:pPr>
            <w:r w:rsidRPr="004522FE">
              <w:rPr>
                <w:rFonts w:ascii="Times New Roman" w:eastAsia="Times New Roman" w:hAnsi="Times New Roman" w:cs="Times New Roman"/>
                <w:b/>
                <w:spacing w:val="2"/>
                <w:sz w:val="24"/>
                <w:szCs w:val="24"/>
              </w:rPr>
              <w:t>Статья 1. Основные понятия, используемые в настоящем Кодексе</w:t>
            </w:r>
          </w:p>
          <w:p w:rsidR="004C0EEA" w:rsidRPr="004522FE" w:rsidRDefault="004C0EEA" w:rsidP="004C0EEA">
            <w:pPr>
              <w:shd w:val="clear" w:color="auto" w:fill="FFFFFF" w:themeFill="background1"/>
              <w:ind w:firstLine="709"/>
              <w:jc w:val="both"/>
              <w:rPr>
                <w:rFonts w:ascii="Times New Roman" w:eastAsia="Times New Roman" w:hAnsi="Times New Roman" w:cs="Times New Roman"/>
                <w:spacing w:val="2"/>
                <w:sz w:val="24"/>
                <w:szCs w:val="24"/>
              </w:rPr>
            </w:pPr>
            <w:r w:rsidRPr="004522FE">
              <w:rPr>
                <w:rFonts w:ascii="Times New Roman" w:eastAsia="Times New Roman" w:hAnsi="Times New Roman" w:cs="Times New Roman"/>
                <w:spacing w:val="2"/>
                <w:sz w:val="24"/>
                <w:szCs w:val="24"/>
              </w:rPr>
              <w:t>1. Основные понятия, используемые в настоящем Кодексе для целей налогообложения:</w:t>
            </w:r>
          </w:p>
          <w:p w:rsidR="004C0EEA" w:rsidRDefault="004C0EEA" w:rsidP="004C0EEA">
            <w:pPr>
              <w:ind w:firstLine="400"/>
              <w:jc w:val="both"/>
              <w:rPr>
                <w:rFonts w:ascii="Times New Roman" w:hAnsi="Times New Roman" w:cs="Times New Roman"/>
                <w:color w:val="000000"/>
                <w:sz w:val="24"/>
                <w:szCs w:val="24"/>
              </w:rPr>
            </w:pPr>
            <w:r>
              <w:rPr>
                <w:rFonts w:ascii="Times New Roman" w:hAnsi="Times New Roman" w:cs="Times New Roman"/>
                <w:color w:val="000000"/>
                <w:sz w:val="24"/>
                <w:szCs w:val="24"/>
              </w:rPr>
              <w:t>1) …</w:t>
            </w:r>
          </w:p>
          <w:p w:rsidR="004C0EEA" w:rsidRPr="003F2054" w:rsidRDefault="004C0EEA" w:rsidP="004C0E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3544" w:type="dxa"/>
          </w:tcPr>
          <w:p w:rsidR="004C0EEA" w:rsidRPr="004522FE" w:rsidRDefault="004C0EEA" w:rsidP="004C0EEA">
            <w:pPr>
              <w:shd w:val="clear" w:color="auto" w:fill="FFFFFF" w:themeFill="background1"/>
              <w:ind w:firstLine="709"/>
              <w:jc w:val="both"/>
              <w:rPr>
                <w:rFonts w:ascii="Times New Roman" w:eastAsia="Times New Roman" w:hAnsi="Times New Roman" w:cs="Times New Roman"/>
                <w:b/>
                <w:spacing w:val="2"/>
                <w:sz w:val="24"/>
                <w:szCs w:val="24"/>
              </w:rPr>
            </w:pPr>
            <w:r w:rsidRPr="004522FE">
              <w:rPr>
                <w:rFonts w:ascii="Times New Roman" w:eastAsia="Times New Roman" w:hAnsi="Times New Roman" w:cs="Times New Roman"/>
                <w:b/>
                <w:spacing w:val="2"/>
                <w:sz w:val="24"/>
                <w:szCs w:val="24"/>
              </w:rPr>
              <w:t>Статья 1. Основные понятия, используемые в настоящем Кодексе</w:t>
            </w:r>
          </w:p>
          <w:p w:rsidR="004C0EEA" w:rsidRPr="004522FE" w:rsidRDefault="004C0EEA" w:rsidP="004C0EEA">
            <w:pPr>
              <w:shd w:val="clear" w:color="auto" w:fill="FFFFFF" w:themeFill="background1"/>
              <w:ind w:firstLine="709"/>
              <w:jc w:val="both"/>
              <w:rPr>
                <w:rFonts w:ascii="Times New Roman" w:eastAsia="Times New Roman" w:hAnsi="Times New Roman" w:cs="Times New Roman"/>
                <w:spacing w:val="2"/>
                <w:sz w:val="24"/>
                <w:szCs w:val="24"/>
              </w:rPr>
            </w:pPr>
            <w:r w:rsidRPr="004522FE">
              <w:rPr>
                <w:rFonts w:ascii="Times New Roman" w:eastAsia="Times New Roman" w:hAnsi="Times New Roman" w:cs="Times New Roman"/>
                <w:spacing w:val="2"/>
                <w:sz w:val="24"/>
                <w:szCs w:val="24"/>
              </w:rPr>
              <w:t>1. Основные понятия, используемые в настоящем Кодексе для целей налогообложения:</w:t>
            </w:r>
          </w:p>
          <w:p w:rsidR="004C0EEA" w:rsidRDefault="004C0EEA" w:rsidP="004C0EEA">
            <w:pPr>
              <w:ind w:firstLine="400"/>
              <w:jc w:val="both"/>
              <w:rPr>
                <w:rFonts w:ascii="Times New Roman" w:hAnsi="Times New Roman" w:cs="Times New Roman"/>
                <w:color w:val="000000"/>
                <w:sz w:val="24"/>
                <w:szCs w:val="24"/>
              </w:rPr>
            </w:pPr>
            <w:r>
              <w:rPr>
                <w:rFonts w:ascii="Times New Roman" w:hAnsi="Times New Roman" w:cs="Times New Roman"/>
                <w:color w:val="000000"/>
                <w:sz w:val="24"/>
                <w:szCs w:val="24"/>
              </w:rPr>
              <w:t>1) …</w:t>
            </w:r>
          </w:p>
          <w:p w:rsidR="004C0EEA" w:rsidRPr="00DE0211" w:rsidRDefault="004C0EEA" w:rsidP="004C0EEA">
            <w:pPr>
              <w:ind w:firstLine="400"/>
              <w:jc w:val="both"/>
              <w:rPr>
                <w:rFonts w:ascii="Times New Roman" w:hAnsi="Times New Roman" w:cs="Times New Roman"/>
                <w:sz w:val="28"/>
                <w:szCs w:val="28"/>
              </w:rPr>
            </w:pPr>
            <w:r>
              <w:rPr>
                <w:rFonts w:ascii="Times New Roman" w:hAnsi="Times New Roman" w:cs="Times New Roman"/>
                <w:color w:val="000000"/>
                <w:sz w:val="24"/>
                <w:szCs w:val="24"/>
              </w:rPr>
              <w:t xml:space="preserve">76) </w:t>
            </w:r>
            <w:r w:rsidRPr="00242C02">
              <w:rPr>
                <w:rFonts w:ascii="Times New Roman" w:hAnsi="Times New Roman" w:cs="Times New Roman"/>
                <w:b/>
                <w:color w:val="000000"/>
                <w:sz w:val="24"/>
                <w:szCs w:val="24"/>
              </w:rPr>
              <w:t>Встроенный производный финансовый инструмент</w:t>
            </w:r>
            <w:r>
              <w:rPr>
                <w:rFonts w:ascii="Times New Roman" w:hAnsi="Times New Roman" w:cs="Times New Roman"/>
                <w:b/>
                <w:color w:val="000000"/>
                <w:sz w:val="24"/>
                <w:szCs w:val="24"/>
              </w:rPr>
              <w:t>, в том числе</w:t>
            </w:r>
            <w:r w:rsidRPr="00242C02">
              <w:rPr>
                <w:rFonts w:ascii="Times New Roman" w:hAnsi="Times New Roman" w:cs="Times New Roman"/>
                <w:b/>
                <w:color w:val="000000"/>
                <w:sz w:val="24"/>
                <w:szCs w:val="24"/>
              </w:rPr>
              <w:t xml:space="preserve"> по договору финансового лизинга - эт</w:t>
            </w:r>
            <w:bookmarkStart w:id="0" w:name="_GoBack"/>
            <w:bookmarkEnd w:id="0"/>
            <w:r w:rsidRPr="00242C02">
              <w:rPr>
                <w:rFonts w:ascii="Times New Roman" w:hAnsi="Times New Roman" w:cs="Times New Roman"/>
                <w:b/>
                <w:color w:val="000000"/>
                <w:sz w:val="24"/>
                <w:szCs w:val="24"/>
              </w:rPr>
              <w:t>о разновидность производного финансового инструмента</w:t>
            </w:r>
            <w:r w:rsidRPr="00242C02">
              <w:rPr>
                <w:b/>
              </w:rPr>
              <w:t xml:space="preserve"> </w:t>
            </w:r>
            <w:r w:rsidRPr="00242C02">
              <w:rPr>
                <w:rFonts w:ascii="Times New Roman" w:hAnsi="Times New Roman" w:cs="Times New Roman"/>
                <w:b/>
                <w:color w:val="000000"/>
                <w:sz w:val="24"/>
                <w:szCs w:val="24"/>
              </w:rPr>
              <w:t>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tc>
        <w:tc>
          <w:tcPr>
            <w:tcW w:w="4111" w:type="dxa"/>
          </w:tcPr>
          <w:p w:rsidR="004C0EEA" w:rsidRPr="003F2054" w:rsidRDefault="004C0EEA" w:rsidP="004C0EEA">
            <w:pPr>
              <w:ind w:firstLine="708"/>
              <w:jc w:val="both"/>
              <w:rPr>
                <w:rFonts w:ascii="Times New Roman" w:hAnsi="Times New Roman" w:cs="Times New Roman"/>
                <w:color w:val="000000"/>
                <w:sz w:val="24"/>
                <w:szCs w:val="24"/>
              </w:rPr>
            </w:pPr>
            <w:r w:rsidRPr="00673C45">
              <w:rPr>
                <w:rFonts w:ascii="Times New Roman" w:hAnsi="Times New Roman" w:cs="Times New Roman"/>
                <w:color w:val="000000"/>
                <w:sz w:val="24"/>
                <w:szCs w:val="24"/>
              </w:rPr>
              <w:t xml:space="preserve">В связи с тем, что индексация лизингового платежа является </w:t>
            </w:r>
            <w:r w:rsidRPr="00BB23CA">
              <w:rPr>
                <w:rFonts w:ascii="Times New Roman" w:hAnsi="Times New Roman" w:cs="Times New Roman"/>
                <w:color w:val="000000"/>
                <w:sz w:val="24"/>
                <w:szCs w:val="24"/>
              </w:rPr>
              <w:t>производны</w:t>
            </w:r>
            <w:r>
              <w:rPr>
                <w:rFonts w:ascii="Times New Roman" w:hAnsi="Times New Roman" w:cs="Times New Roman"/>
                <w:color w:val="000000"/>
                <w:sz w:val="24"/>
                <w:szCs w:val="24"/>
              </w:rPr>
              <w:t>м</w:t>
            </w:r>
            <w:r w:rsidRPr="00673C45">
              <w:rPr>
                <w:rFonts w:ascii="Times New Roman" w:hAnsi="Times New Roman" w:cs="Times New Roman"/>
                <w:color w:val="000000"/>
                <w:sz w:val="24"/>
                <w:szCs w:val="24"/>
              </w:rPr>
              <w:t xml:space="preserve"> финансовым инструментом, встроенным в договор </w:t>
            </w:r>
            <w:r>
              <w:rPr>
                <w:rFonts w:ascii="Times New Roman" w:hAnsi="Times New Roman" w:cs="Times New Roman"/>
                <w:color w:val="000000"/>
                <w:sz w:val="24"/>
                <w:szCs w:val="24"/>
              </w:rPr>
              <w:t xml:space="preserve">финансового лизинга и подпадает под действие </w:t>
            </w:r>
            <w:hyperlink r:id="rId7" w:tooltip="Международный стандарт финансовой отчетности (IFRS) 9 " w:history="1">
              <w:r w:rsidRPr="00BB23CA">
                <w:rPr>
                  <w:rFonts w:ascii="Times New Roman" w:hAnsi="Times New Roman" w:cs="Times New Roman"/>
                  <w:color w:val="000000"/>
                  <w:sz w:val="24"/>
                  <w:szCs w:val="24"/>
                </w:rPr>
                <w:t>МСФО (IFRS) 9</w:t>
              </w:r>
            </w:hyperlink>
            <w:r w:rsidRPr="00BB23CA">
              <w:rPr>
                <w:rFonts w:ascii="Times New Roman" w:hAnsi="Times New Roman" w:cs="Times New Roman"/>
                <w:color w:val="000000"/>
                <w:sz w:val="24"/>
                <w:szCs w:val="24"/>
              </w:rPr>
              <w:t xml:space="preserve"> «Финансовые инструменты»</w:t>
            </w:r>
            <w:r>
              <w:rPr>
                <w:rFonts w:ascii="Times New Roman" w:hAnsi="Times New Roman" w:cs="Times New Roman"/>
                <w:color w:val="000000"/>
                <w:sz w:val="24"/>
                <w:szCs w:val="24"/>
              </w:rPr>
              <w:t xml:space="preserve">, </w:t>
            </w:r>
            <w:r w:rsidRPr="00BB23CA">
              <w:rPr>
                <w:rFonts w:ascii="Times New Roman" w:hAnsi="Times New Roman" w:cs="Times New Roman"/>
                <w:color w:val="000000"/>
                <w:sz w:val="24"/>
                <w:szCs w:val="24"/>
              </w:rPr>
              <w:t>к встроенным производным финансовым инструментам должны применяться нормы налогового законодательства касающиеся прои</w:t>
            </w:r>
            <w:r>
              <w:rPr>
                <w:rFonts w:ascii="Times New Roman" w:hAnsi="Times New Roman" w:cs="Times New Roman"/>
                <w:color w:val="000000"/>
                <w:sz w:val="24"/>
                <w:szCs w:val="24"/>
              </w:rPr>
              <w:t>зводных финансовых инструментов.</w:t>
            </w:r>
          </w:p>
        </w:tc>
        <w:tc>
          <w:tcPr>
            <w:tcW w:w="2693" w:type="dxa"/>
          </w:tcPr>
          <w:p w:rsidR="004C0EEA" w:rsidRDefault="004C0EEA" w:rsidP="004C0EEA">
            <w:r w:rsidRPr="00A53EFD">
              <w:rPr>
                <w:rFonts w:ascii="Times New Roman" w:eastAsia="Times New Roman" w:hAnsi="Times New Roman" w:cs="Times New Roman"/>
                <w:b/>
                <w:color w:val="000000"/>
                <w:sz w:val="24"/>
                <w:szCs w:val="24"/>
                <w:lang w:eastAsia="ru-RU"/>
              </w:rPr>
              <w:t>АО БРК-Лизинг ДО АО Банк Развития Казахстана</w:t>
            </w:r>
          </w:p>
        </w:tc>
      </w:tr>
      <w:tr w:rsidR="004C0EEA" w:rsidRPr="003F2054" w:rsidTr="004C0EEA">
        <w:tc>
          <w:tcPr>
            <w:tcW w:w="709" w:type="dxa"/>
          </w:tcPr>
          <w:p w:rsidR="004C0EEA" w:rsidRPr="004C0EEA" w:rsidRDefault="004C0EEA" w:rsidP="004C0EEA">
            <w:pPr>
              <w:pStyle w:val="a5"/>
              <w:numPr>
                <w:ilvl w:val="0"/>
                <w:numId w:val="3"/>
              </w:numPr>
              <w:ind w:left="0" w:firstLine="0"/>
              <w:jc w:val="both"/>
              <w:rPr>
                <w:rFonts w:ascii="Times New Roman" w:hAnsi="Times New Roman" w:cs="Times New Roman"/>
                <w:color w:val="000000"/>
                <w:sz w:val="24"/>
                <w:szCs w:val="24"/>
              </w:rPr>
            </w:pPr>
          </w:p>
        </w:tc>
        <w:tc>
          <w:tcPr>
            <w:tcW w:w="1701" w:type="dxa"/>
          </w:tcPr>
          <w:p w:rsidR="004C0EEA" w:rsidRPr="00A25306" w:rsidRDefault="004C0EEA" w:rsidP="004C0EEA">
            <w:pPr>
              <w:jc w:val="right"/>
              <w:rPr>
                <w:rFonts w:ascii="Times New Roman" w:hAnsi="Times New Roman" w:cs="Times New Roman"/>
                <w:sz w:val="24"/>
                <w:szCs w:val="24"/>
              </w:rPr>
            </w:pPr>
            <w:r w:rsidRPr="00A25306">
              <w:rPr>
                <w:rFonts w:ascii="Times New Roman" w:hAnsi="Times New Roman" w:cs="Times New Roman"/>
                <w:sz w:val="24"/>
                <w:szCs w:val="24"/>
              </w:rPr>
              <w:t>Параграф 5 Статья 2</w:t>
            </w:r>
            <w:r>
              <w:rPr>
                <w:rFonts w:ascii="Times New Roman" w:hAnsi="Times New Roman" w:cs="Times New Roman"/>
                <w:sz w:val="24"/>
                <w:szCs w:val="24"/>
              </w:rPr>
              <w:t>99</w:t>
            </w:r>
            <w:r w:rsidRPr="00A25306">
              <w:rPr>
                <w:rFonts w:ascii="Times New Roman" w:hAnsi="Times New Roman" w:cs="Times New Roman"/>
                <w:sz w:val="24"/>
                <w:szCs w:val="24"/>
              </w:rPr>
              <w:t xml:space="preserve"> пункт </w:t>
            </w:r>
            <w:r>
              <w:rPr>
                <w:rFonts w:ascii="Times New Roman" w:hAnsi="Times New Roman" w:cs="Times New Roman"/>
                <w:sz w:val="24"/>
                <w:szCs w:val="24"/>
              </w:rPr>
              <w:t>1 подпункт 3)</w:t>
            </w:r>
          </w:p>
        </w:tc>
        <w:tc>
          <w:tcPr>
            <w:tcW w:w="3260" w:type="dxa"/>
          </w:tcPr>
          <w:p w:rsidR="004C0EEA" w:rsidRDefault="004C0EEA" w:rsidP="004C0EEA">
            <w:pPr>
              <w:ind w:left="1200" w:hanging="800"/>
              <w:jc w:val="both"/>
            </w:pPr>
            <w:r>
              <w:rPr>
                <w:rStyle w:val="s1"/>
              </w:rPr>
              <w:t>Статья 299. Понятие убытка</w:t>
            </w:r>
          </w:p>
          <w:p w:rsidR="004C0EEA" w:rsidRPr="00764ECA" w:rsidRDefault="004C0EEA" w:rsidP="004C0EEA">
            <w:pPr>
              <w:ind w:firstLine="426"/>
              <w:jc w:val="both"/>
              <w:rPr>
                <w:rFonts w:ascii="Times New Roman" w:eastAsia="Times New Roman" w:hAnsi="Times New Roman" w:cs="Times New Roman"/>
                <w:spacing w:val="2"/>
                <w:sz w:val="24"/>
                <w:szCs w:val="24"/>
              </w:rPr>
            </w:pPr>
            <w:bookmarkStart w:id="1" w:name="SUB2990100"/>
            <w:bookmarkEnd w:id="1"/>
            <w:r>
              <w:t xml:space="preserve">1. </w:t>
            </w:r>
            <w:r w:rsidRPr="00764ECA">
              <w:rPr>
                <w:rFonts w:ascii="Times New Roman" w:eastAsia="Times New Roman" w:hAnsi="Times New Roman" w:cs="Times New Roman"/>
                <w:spacing w:val="2"/>
                <w:sz w:val="24"/>
                <w:szCs w:val="24"/>
              </w:rPr>
              <w:t>Убытком от предпринимательской деятельности признается:</w:t>
            </w:r>
          </w:p>
          <w:p w:rsidR="004C0EEA" w:rsidRPr="00764ECA" w:rsidRDefault="004C0EEA" w:rsidP="004C0EEA">
            <w:pPr>
              <w:ind w:firstLine="426"/>
              <w:jc w:val="both"/>
              <w:rPr>
                <w:rFonts w:ascii="Times New Roman" w:eastAsia="Times New Roman" w:hAnsi="Times New Roman" w:cs="Times New Roman"/>
                <w:spacing w:val="2"/>
                <w:sz w:val="24"/>
                <w:szCs w:val="24"/>
              </w:rPr>
            </w:pPr>
            <w:bookmarkStart w:id="2" w:name="SUB2990101"/>
            <w:bookmarkEnd w:id="2"/>
            <w:r w:rsidRPr="00764ECA">
              <w:rPr>
                <w:rFonts w:ascii="Times New Roman" w:eastAsia="Times New Roman" w:hAnsi="Times New Roman" w:cs="Times New Roman"/>
                <w:spacing w:val="2"/>
                <w:sz w:val="24"/>
                <w:szCs w:val="24"/>
              </w:rPr>
              <w:t xml:space="preserve">1) превышение вычетов </w:t>
            </w:r>
            <w:r w:rsidRPr="00764ECA">
              <w:rPr>
                <w:rFonts w:ascii="Times New Roman" w:eastAsia="Times New Roman" w:hAnsi="Times New Roman" w:cs="Times New Roman"/>
                <w:spacing w:val="2"/>
                <w:sz w:val="24"/>
                <w:szCs w:val="24"/>
              </w:rPr>
              <w:lastRenderedPageBreak/>
              <w:t xml:space="preserve">над совокупным годовым доходом с учетом корректировок, предусмотренных </w:t>
            </w:r>
            <w:hyperlink r:id="rId8" w:history="1">
              <w:r w:rsidRPr="00764ECA">
                <w:rPr>
                  <w:rFonts w:ascii="Times New Roman" w:eastAsia="Times New Roman" w:hAnsi="Times New Roman" w:cs="Times New Roman"/>
                  <w:spacing w:val="2"/>
                  <w:sz w:val="24"/>
                  <w:szCs w:val="24"/>
                </w:rPr>
                <w:t>статьей 241</w:t>
              </w:r>
            </w:hyperlink>
            <w:r w:rsidRPr="00764ECA">
              <w:rPr>
                <w:rFonts w:ascii="Times New Roman" w:eastAsia="Times New Roman" w:hAnsi="Times New Roman" w:cs="Times New Roman"/>
                <w:spacing w:val="2"/>
                <w:sz w:val="24"/>
                <w:szCs w:val="24"/>
              </w:rPr>
              <w:t xml:space="preserve"> настоящего Кодекса;</w:t>
            </w:r>
          </w:p>
          <w:p w:rsidR="004C0EEA" w:rsidRPr="00764ECA" w:rsidRDefault="004C0EEA" w:rsidP="004C0EEA">
            <w:pPr>
              <w:ind w:firstLine="426"/>
              <w:jc w:val="both"/>
              <w:rPr>
                <w:rFonts w:ascii="Times New Roman" w:eastAsia="Times New Roman" w:hAnsi="Times New Roman" w:cs="Times New Roman"/>
                <w:spacing w:val="2"/>
                <w:sz w:val="24"/>
                <w:szCs w:val="24"/>
              </w:rPr>
            </w:pPr>
            <w:bookmarkStart w:id="3" w:name="SUB2990102"/>
            <w:bookmarkEnd w:id="3"/>
            <w:r w:rsidRPr="00764ECA">
              <w:rPr>
                <w:rFonts w:ascii="Times New Roman" w:eastAsia="Times New Roman" w:hAnsi="Times New Roman" w:cs="Times New Roman"/>
                <w:spacing w:val="2"/>
                <w:sz w:val="24"/>
                <w:szCs w:val="24"/>
              </w:rPr>
              <w:t>2) убыток от продажи предприятия как имущественного комплекса.</w:t>
            </w:r>
          </w:p>
          <w:p w:rsidR="004C0EEA" w:rsidRPr="00A25306" w:rsidRDefault="004C0EEA" w:rsidP="004C0EEA">
            <w:pPr>
              <w:rPr>
                <w:rFonts w:ascii="Times New Roman" w:hAnsi="Times New Roman" w:cs="Times New Roman"/>
                <w:sz w:val="24"/>
                <w:szCs w:val="24"/>
              </w:rPr>
            </w:pPr>
            <w:r>
              <w:rPr>
                <w:rFonts w:ascii="Times New Roman" w:hAnsi="Times New Roman" w:cs="Times New Roman"/>
                <w:b/>
                <w:sz w:val="24"/>
                <w:szCs w:val="24"/>
              </w:rPr>
              <w:t xml:space="preserve">3) </w:t>
            </w:r>
            <w:r w:rsidRPr="00A25306">
              <w:rPr>
                <w:rFonts w:ascii="Times New Roman" w:hAnsi="Times New Roman" w:cs="Times New Roman"/>
                <w:b/>
                <w:sz w:val="24"/>
                <w:szCs w:val="24"/>
              </w:rPr>
              <w:t>Отсутствует</w:t>
            </w:r>
          </w:p>
        </w:tc>
        <w:tc>
          <w:tcPr>
            <w:tcW w:w="3544" w:type="dxa"/>
          </w:tcPr>
          <w:p w:rsidR="004C0EEA" w:rsidRDefault="004C0EEA" w:rsidP="004C0EEA">
            <w:pPr>
              <w:ind w:left="1200" w:hanging="800"/>
              <w:jc w:val="both"/>
            </w:pPr>
            <w:r>
              <w:rPr>
                <w:rStyle w:val="s1"/>
              </w:rPr>
              <w:lastRenderedPageBreak/>
              <w:t>Статья 299. Понятие убытка</w:t>
            </w:r>
          </w:p>
          <w:p w:rsidR="004C0EEA" w:rsidRPr="00764ECA" w:rsidRDefault="004C0EEA" w:rsidP="004C0EEA">
            <w:pPr>
              <w:ind w:firstLine="426"/>
              <w:jc w:val="both"/>
              <w:rPr>
                <w:rFonts w:ascii="Times New Roman" w:eastAsia="Times New Roman" w:hAnsi="Times New Roman" w:cs="Times New Roman"/>
                <w:spacing w:val="2"/>
                <w:sz w:val="24"/>
                <w:szCs w:val="24"/>
              </w:rPr>
            </w:pPr>
            <w:r>
              <w:t xml:space="preserve">1. </w:t>
            </w:r>
            <w:r w:rsidRPr="00764ECA">
              <w:rPr>
                <w:rFonts w:ascii="Times New Roman" w:eastAsia="Times New Roman" w:hAnsi="Times New Roman" w:cs="Times New Roman"/>
                <w:spacing w:val="2"/>
                <w:sz w:val="24"/>
                <w:szCs w:val="24"/>
              </w:rPr>
              <w:t>Убытком от предпринимательской деятельности признается:</w:t>
            </w:r>
          </w:p>
          <w:p w:rsidR="004C0EEA" w:rsidRPr="00764ECA" w:rsidRDefault="004C0EEA" w:rsidP="004C0EEA">
            <w:pPr>
              <w:ind w:firstLine="426"/>
              <w:jc w:val="both"/>
              <w:rPr>
                <w:rFonts w:ascii="Times New Roman" w:eastAsia="Times New Roman" w:hAnsi="Times New Roman" w:cs="Times New Roman"/>
                <w:spacing w:val="2"/>
                <w:sz w:val="24"/>
                <w:szCs w:val="24"/>
              </w:rPr>
            </w:pPr>
            <w:r w:rsidRPr="00764ECA">
              <w:rPr>
                <w:rFonts w:ascii="Times New Roman" w:eastAsia="Times New Roman" w:hAnsi="Times New Roman" w:cs="Times New Roman"/>
                <w:spacing w:val="2"/>
                <w:sz w:val="24"/>
                <w:szCs w:val="24"/>
              </w:rPr>
              <w:t xml:space="preserve">1) превышение вычетов над совокупным годовым </w:t>
            </w:r>
            <w:r w:rsidRPr="00764ECA">
              <w:rPr>
                <w:rFonts w:ascii="Times New Roman" w:eastAsia="Times New Roman" w:hAnsi="Times New Roman" w:cs="Times New Roman"/>
                <w:spacing w:val="2"/>
                <w:sz w:val="24"/>
                <w:szCs w:val="24"/>
              </w:rPr>
              <w:lastRenderedPageBreak/>
              <w:t xml:space="preserve">доходом с учетом корректировок, предусмотренных </w:t>
            </w:r>
            <w:hyperlink r:id="rId9" w:history="1">
              <w:r w:rsidRPr="00764ECA">
                <w:rPr>
                  <w:rFonts w:ascii="Times New Roman" w:eastAsia="Times New Roman" w:hAnsi="Times New Roman" w:cs="Times New Roman"/>
                  <w:spacing w:val="2"/>
                  <w:sz w:val="24"/>
                  <w:szCs w:val="24"/>
                </w:rPr>
                <w:t>статьей 241</w:t>
              </w:r>
            </w:hyperlink>
            <w:r w:rsidRPr="00764ECA">
              <w:rPr>
                <w:rFonts w:ascii="Times New Roman" w:eastAsia="Times New Roman" w:hAnsi="Times New Roman" w:cs="Times New Roman"/>
                <w:spacing w:val="2"/>
                <w:sz w:val="24"/>
                <w:szCs w:val="24"/>
              </w:rPr>
              <w:t xml:space="preserve"> настоящего Кодекса;</w:t>
            </w:r>
          </w:p>
          <w:p w:rsidR="004C0EEA" w:rsidRPr="00764ECA" w:rsidRDefault="004C0EEA" w:rsidP="004C0EEA">
            <w:pPr>
              <w:ind w:firstLine="426"/>
              <w:jc w:val="both"/>
              <w:rPr>
                <w:rFonts w:ascii="Times New Roman" w:eastAsia="Times New Roman" w:hAnsi="Times New Roman" w:cs="Times New Roman"/>
                <w:spacing w:val="2"/>
                <w:sz w:val="24"/>
                <w:szCs w:val="24"/>
              </w:rPr>
            </w:pPr>
            <w:r w:rsidRPr="00764ECA">
              <w:rPr>
                <w:rFonts w:ascii="Times New Roman" w:eastAsia="Times New Roman" w:hAnsi="Times New Roman" w:cs="Times New Roman"/>
                <w:spacing w:val="2"/>
                <w:sz w:val="24"/>
                <w:szCs w:val="24"/>
              </w:rPr>
              <w:t>2) убыток от продажи предприятия как имущественного комплекса.</w:t>
            </w:r>
          </w:p>
          <w:p w:rsidR="004C0EEA" w:rsidRPr="00764ECA" w:rsidRDefault="004C0EEA" w:rsidP="004C0EEA">
            <w:pPr>
              <w:ind w:firstLine="426"/>
              <w:jc w:val="both"/>
              <w:rPr>
                <w:rFonts w:ascii="Times New Roman" w:eastAsia="Times New Roman" w:hAnsi="Times New Roman" w:cs="Times New Roman"/>
                <w:b/>
                <w:spacing w:val="2"/>
                <w:sz w:val="24"/>
                <w:szCs w:val="24"/>
              </w:rPr>
            </w:pPr>
            <w:r>
              <w:rPr>
                <w:rFonts w:ascii="Times New Roman" w:hAnsi="Times New Roman" w:cs="Times New Roman"/>
                <w:b/>
                <w:sz w:val="24"/>
                <w:szCs w:val="24"/>
              </w:rPr>
              <w:t xml:space="preserve">3) </w:t>
            </w:r>
            <w:r w:rsidRPr="00764ECA">
              <w:rPr>
                <w:rFonts w:ascii="Times New Roman" w:eastAsia="Times New Roman" w:hAnsi="Times New Roman" w:cs="Times New Roman"/>
                <w:b/>
                <w:spacing w:val="2"/>
                <w:sz w:val="24"/>
                <w:szCs w:val="24"/>
              </w:rPr>
              <w:t>Убыток по встроенному производному финансовому инструменту по договору финансового лизинга.</w:t>
            </w:r>
          </w:p>
          <w:p w:rsidR="004C0EEA" w:rsidRPr="00A25306" w:rsidRDefault="004C0EEA" w:rsidP="004C0EEA">
            <w:pPr>
              <w:jc w:val="right"/>
              <w:rPr>
                <w:rFonts w:ascii="Times New Roman" w:hAnsi="Times New Roman" w:cs="Times New Roman"/>
                <w:sz w:val="24"/>
                <w:szCs w:val="24"/>
              </w:rPr>
            </w:pPr>
          </w:p>
        </w:tc>
        <w:tc>
          <w:tcPr>
            <w:tcW w:w="4111" w:type="dxa"/>
            <w:vMerge w:val="restart"/>
          </w:tcPr>
          <w:p w:rsidR="004C0EEA" w:rsidRPr="007131A4" w:rsidRDefault="004C0EEA" w:rsidP="004C0EEA">
            <w:pPr>
              <w:ind w:firstLine="708"/>
              <w:jc w:val="both"/>
              <w:rPr>
                <w:rFonts w:ascii="Times New Roman" w:hAnsi="Times New Roman" w:cs="Times New Roman"/>
                <w:color w:val="000000"/>
                <w:sz w:val="24"/>
                <w:szCs w:val="24"/>
              </w:rPr>
            </w:pPr>
            <w:r w:rsidRPr="00673C45">
              <w:rPr>
                <w:rFonts w:ascii="Times New Roman" w:hAnsi="Times New Roman" w:cs="Times New Roman"/>
                <w:color w:val="000000"/>
                <w:sz w:val="24"/>
                <w:szCs w:val="24"/>
              </w:rPr>
              <w:lastRenderedPageBreak/>
              <w:t xml:space="preserve">В связи с тем, что индексация лизингового платежа </w:t>
            </w:r>
            <w:r>
              <w:rPr>
                <w:rFonts w:ascii="Times New Roman" w:hAnsi="Times New Roman" w:cs="Times New Roman"/>
                <w:color w:val="000000"/>
                <w:sz w:val="24"/>
                <w:szCs w:val="24"/>
              </w:rPr>
              <w:t xml:space="preserve">по договору финансового лизинга, </w:t>
            </w:r>
            <w:r w:rsidRPr="00673C45">
              <w:rPr>
                <w:rFonts w:ascii="Times New Roman" w:hAnsi="Times New Roman" w:cs="Times New Roman"/>
                <w:color w:val="000000"/>
                <w:sz w:val="24"/>
                <w:szCs w:val="24"/>
              </w:rPr>
              <w:t xml:space="preserve">является </w:t>
            </w:r>
            <w:r>
              <w:rPr>
                <w:rFonts w:ascii="Times New Roman" w:hAnsi="Times New Roman" w:cs="Times New Roman"/>
                <w:color w:val="000000"/>
                <w:sz w:val="24"/>
                <w:szCs w:val="24"/>
              </w:rPr>
              <w:t>в</w:t>
            </w:r>
            <w:r w:rsidRPr="00BB23CA">
              <w:rPr>
                <w:rFonts w:ascii="Times New Roman" w:hAnsi="Times New Roman" w:cs="Times New Roman"/>
                <w:color w:val="000000"/>
                <w:sz w:val="24"/>
                <w:szCs w:val="24"/>
              </w:rPr>
              <w:t>строенным производным финансовым инструмент</w:t>
            </w:r>
            <w:r>
              <w:rPr>
                <w:rFonts w:ascii="Times New Roman" w:hAnsi="Times New Roman" w:cs="Times New Roman"/>
                <w:color w:val="000000"/>
                <w:sz w:val="24"/>
                <w:szCs w:val="24"/>
              </w:rPr>
              <w:t>о</w:t>
            </w:r>
            <w:r w:rsidRPr="00BB23CA">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 xml:space="preserve">как у </w:t>
            </w:r>
            <w:r>
              <w:rPr>
                <w:rFonts w:ascii="Times New Roman" w:hAnsi="Times New Roman" w:cs="Times New Roman"/>
                <w:color w:val="000000"/>
                <w:sz w:val="24"/>
                <w:szCs w:val="24"/>
              </w:rPr>
              <w:lastRenderedPageBreak/>
              <w:t xml:space="preserve">Лизингодателя, так и у Лизингополучателя,  при этом Лизингополучатель в данный момент не имеет возможности отнести на вычеты сумму указанной индексации </w:t>
            </w:r>
          </w:p>
        </w:tc>
        <w:tc>
          <w:tcPr>
            <w:tcW w:w="2693" w:type="dxa"/>
          </w:tcPr>
          <w:p w:rsidR="004C0EEA" w:rsidRDefault="004C0EEA" w:rsidP="004C0EEA">
            <w:r w:rsidRPr="00A53EFD">
              <w:rPr>
                <w:rFonts w:ascii="Times New Roman" w:eastAsia="Times New Roman" w:hAnsi="Times New Roman" w:cs="Times New Roman"/>
                <w:b/>
                <w:color w:val="000000"/>
                <w:sz w:val="24"/>
                <w:szCs w:val="24"/>
                <w:lang w:eastAsia="ru-RU"/>
              </w:rPr>
              <w:lastRenderedPageBreak/>
              <w:t>АО БРК-Лизинг ДО АО Банк Развития Казахстана</w:t>
            </w:r>
          </w:p>
        </w:tc>
      </w:tr>
      <w:tr w:rsidR="004C0EEA" w:rsidRPr="003F2054" w:rsidTr="004C0EEA">
        <w:tc>
          <w:tcPr>
            <w:tcW w:w="709" w:type="dxa"/>
          </w:tcPr>
          <w:p w:rsidR="004C0EEA" w:rsidRPr="004C0EEA" w:rsidRDefault="004C0EEA" w:rsidP="004C0EEA">
            <w:pPr>
              <w:pStyle w:val="a5"/>
              <w:numPr>
                <w:ilvl w:val="0"/>
                <w:numId w:val="3"/>
              </w:numPr>
              <w:ind w:left="0" w:firstLine="0"/>
              <w:jc w:val="both"/>
              <w:rPr>
                <w:rFonts w:ascii="Times New Roman" w:hAnsi="Times New Roman" w:cs="Times New Roman"/>
                <w:color w:val="000000"/>
                <w:sz w:val="24"/>
                <w:szCs w:val="24"/>
              </w:rPr>
            </w:pPr>
          </w:p>
        </w:tc>
        <w:tc>
          <w:tcPr>
            <w:tcW w:w="1701" w:type="dxa"/>
          </w:tcPr>
          <w:p w:rsidR="004C0EEA" w:rsidRPr="00A25306" w:rsidRDefault="004C0EEA" w:rsidP="004C0EEA">
            <w:pPr>
              <w:jc w:val="right"/>
              <w:rPr>
                <w:rFonts w:ascii="Times New Roman" w:hAnsi="Times New Roman" w:cs="Times New Roman"/>
                <w:sz w:val="24"/>
                <w:szCs w:val="24"/>
              </w:rPr>
            </w:pPr>
          </w:p>
        </w:tc>
        <w:tc>
          <w:tcPr>
            <w:tcW w:w="3260" w:type="dxa"/>
          </w:tcPr>
          <w:p w:rsidR="004C0EEA" w:rsidRPr="006D29BC" w:rsidRDefault="004C0EEA" w:rsidP="004C0EEA">
            <w:pPr>
              <w:ind w:left="1200" w:hanging="800"/>
              <w:jc w:val="both"/>
              <w:rPr>
                <w:rStyle w:val="s1"/>
              </w:rPr>
            </w:pPr>
            <w:r w:rsidRPr="006D29BC">
              <w:rPr>
                <w:rStyle w:val="s1"/>
                <w:bCs w:val="0"/>
              </w:rPr>
              <w:t>Статья 299. Понятие убытка</w:t>
            </w:r>
          </w:p>
          <w:p w:rsidR="004C0EEA" w:rsidRPr="006D29BC" w:rsidRDefault="004C0EEA" w:rsidP="004C0EEA">
            <w:pPr>
              <w:ind w:firstLine="426"/>
              <w:jc w:val="both"/>
              <w:rPr>
                <w:rFonts w:ascii="Times New Roman" w:eastAsia="Times New Roman" w:hAnsi="Times New Roman" w:cs="Times New Roman"/>
                <w:spacing w:val="2"/>
                <w:sz w:val="24"/>
                <w:szCs w:val="24"/>
              </w:rPr>
            </w:pPr>
            <w:r w:rsidRPr="006D29BC">
              <w:rPr>
                <w:rFonts w:ascii="Times New Roman" w:eastAsia="Times New Roman" w:hAnsi="Times New Roman" w:cs="Times New Roman"/>
                <w:spacing w:val="2"/>
                <w:sz w:val="24"/>
                <w:szCs w:val="24"/>
              </w:rPr>
              <w:t>5.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p>
          <w:p w:rsidR="004C0EEA" w:rsidRPr="006D29BC" w:rsidRDefault="004C0EEA" w:rsidP="004C0EEA">
            <w:pPr>
              <w:ind w:left="1200" w:hanging="800"/>
              <w:jc w:val="both"/>
              <w:rPr>
                <w:rFonts w:eastAsia="Times New Roman"/>
                <w:b/>
                <w:bCs/>
                <w:spacing w:val="2"/>
                <w:sz w:val="24"/>
                <w:szCs w:val="24"/>
              </w:rPr>
            </w:pPr>
          </w:p>
        </w:tc>
        <w:tc>
          <w:tcPr>
            <w:tcW w:w="3544" w:type="dxa"/>
          </w:tcPr>
          <w:p w:rsidR="004C0EEA" w:rsidRPr="006D29BC" w:rsidRDefault="004C0EEA" w:rsidP="004C0EEA">
            <w:pPr>
              <w:ind w:left="1200" w:hanging="800"/>
              <w:jc w:val="both"/>
              <w:rPr>
                <w:rStyle w:val="s1"/>
              </w:rPr>
            </w:pPr>
            <w:r w:rsidRPr="006D29BC">
              <w:rPr>
                <w:rStyle w:val="s1"/>
                <w:bCs w:val="0"/>
              </w:rPr>
              <w:t>Статья 299. Понятие убытка</w:t>
            </w:r>
          </w:p>
          <w:p w:rsidR="004C0EEA" w:rsidRPr="006D29BC" w:rsidRDefault="004C0EEA" w:rsidP="004C0EEA">
            <w:pPr>
              <w:ind w:firstLine="426"/>
              <w:jc w:val="both"/>
              <w:rPr>
                <w:rFonts w:ascii="Times New Roman" w:eastAsia="Times New Roman" w:hAnsi="Times New Roman" w:cs="Times New Roman"/>
                <w:b/>
                <w:spacing w:val="2"/>
                <w:sz w:val="24"/>
                <w:szCs w:val="24"/>
              </w:rPr>
            </w:pPr>
            <w:r w:rsidRPr="006D29BC">
              <w:rPr>
                <w:rFonts w:ascii="Times New Roman" w:eastAsia="Times New Roman" w:hAnsi="Times New Roman" w:cs="Times New Roman"/>
                <w:b/>
                <w:spacing w:val="2"/>
                <w:sz w:val="24"/>
                <w:szCs w:val="24"/>
              </w:rPr>
              <w:t>5. Если иное не предусмотрено настоящей статьей, убытком от предпринимательской деятельности не являются убытки, указанные в пунктах 2, 3 и 4 настоящей статьи, а также убытки от выбытия фиксированных активов I группы.</w:t>
            </w:r>
          </w:p>
          <w:p w:rsidR="004C0EEA" w:rsidRDefault="004C0EEA" w:rsidP="004C0EEA">
            <w:pPr>
              <w:ind w:left="1200" w:hanging="800"/>
              <w:jc w:val="both"/>
              <w:rPr>
                <w:rStyle w:val="s1"/>
              </w:rPr>
            </w:pPr>
          </w:p>
        </w:tc>
        <w:tc>
          <w:tcPr>
            <w:tcW w:w="4111" w:type="dxa"/>
            <w:vMerge/>
          </w:tcPr>
          <w:p w:rsidR="004C0EEA" w:rsidRPr="003F2054" w:rsidRDefault="004C0EEA" w:rsidP="004C0EEA">
            <w:pPr>
              <w:ind w:firstLine="708"/>
              <w:jc w:val="both"/>
              <w:rPr>
                <w:rFonts w:ascii="Times New Roman" w:hAnsi="Times New Roman" w:cs="Times New Roman"/>
                <w:color w:val="000000"/>
                <w:sz w:val="24"/>
                <w:szCs w:val="24"/>
              </w:rPr>
            </w:pPr>
          </w:p>
        </w:tc>
        <w:tc>
          <w:tcPr>
            <w:tcW w:w="2693" w:type="dxa"/>
          </w:tcPr>
          <w:p w:rsidR="004C0EEA" w:rsidRDefault="004C0EEA" w:rsidP="004C0EEA">
            <w:r w:rsidRPr="0018605B">
              <w:rPr>
                <w:rFonts w:ascii="Times New Roman" w:eastAsia="Times New Roman" w:hAnsi="Times New Roman" w:cs="Times New Roman"/>
                <w:b/>
                <w:color w:val="000000"/>
                <w:sz w:val="24"/>
                <w:szCs w:val="24"/>
                <w:lang w:eastAsia="ru-RU"/>
              </w:rPr>
              <w:t>АО БРК-Лизинг ДО АО Банк Развития Казахстана</w:t>
            </w:r>
          </w:p>
        </w:tc>
      </w:tr>
      <w:tr w:rsidR="004C0EEA" w:rsidRPr="003F2054" w:rsidTr="004C0EEA">
        <w:tc>
          <w:tcPr>
            <w:tcW w:w="709" w:type="dxa"/>
          </w:tcPr>
          <w:p w:rsidR="004C0EEA" w:rsidRPr="004C0EEA" w:rsidRDefault="004C0EEA" w:rsidP="004C0EEA">
            <w:pPr>
              <w:pStyle w:val="a5"/>
              <w:numPr>
                <w:ilvl w:val="0"/>
                <w:numId w:val="3"/>
              </w:numPr>
              <w:ind w:left="0" w:firstLine="0"/>
              <w:jc w:val="both"/>
              <w:rPr>
                <w:rFonts w:ascii="Times New Roman" w:hAnsi="Times New Roman" w:cs="Times New Roman"/>
                <w:color w:val="000000"/>
                <w:sz w:val="24"/>
                <w:szCs w:val="24"/>
              </w:rPr>
            </w:pPr>
            <w:r w:rsidRPr="004C0EEA">
              <w:rPr>
                <w:rFonts w:ascii="Times New Roman" w:hAnsi="Times New Roman" w:cs="Times New Roman"/>
                <w:color w:val="000000"/>
                <w:sz w:val="24"/>
                <w:szCs w:val="24"/>
              </w:rPr>
              <w:t>1</w:t>
            </w:r>
          </w:p>
        </w:tc>
        <w:tc>
          <w:tcPr>
            <w:tcW w:w="1701" w:type="dxa"/>
          </w:tcPr>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Подпункт 5) пункта 2 статьи 397 Налогового Кодекса</w:t>
            </w:r>
          </w:p>
        </w:tc>
        <w:tc>
          <w:tcPr>
            <w:tcW w:w="3260" w:type="dxa"/>
          </w:tcPr>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Статья 397. Обороты по реализации финансовых операций, освобождаемые от налога на добавленную стоимость.</w:t>
            </w: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w:t>
            </w:r>
          </w:p>
          <w:p w:rsidR="004C0EEA" w:rsidRPr="003F2054" w:rsidRDefault="004C0EEA" w:rsidP="004C0E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 к</w:t>
            </w:r>
            <w:r w:rsidRPr="003F2054">
              <w:rPr>
                <w:rFonts w:ascii="Times New Roman" w:hAnsi="Times New Roman" w:cs="Times New Roman"/>
                <w:color w:val="000000"/>
                <w:sz w:val="24"/>
                <w:szCs w:val="24"/>
              </w:rPr>
              <w:t xml:space="preserve"> финансовым операциям, освобождаемым от налога на добавленную стоимость, относятся:</w:t>
            </w: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w:t>
            </w: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lastRenderedPageBreak/>
              <w:t>5) операции с производными финансовыми инструментами;</w:t>
            </w:r>
          </w:p>
          <w:p w:rsidR="004C0EEA" w:rsidRPr="003F2054" w:rsidRDefault="004C0EEA" w:rsidP="004C0EEA">
            <w:pPr>
              <w:ind w:firstLine="708"/>
              <w:jc w:val="both"/>
              <w:rPr>
                <w:rFonts w:ascii="Times New Roman" w:hAnsi="Times New Roman" w:cs="Times New Roman"/>
                <w:color w:val="000000"/>
                <w:sz w:val="24"/>
                <w:szCs w:val="24"/>
              </w:rPr>
            </w:pPr>
          </w:p>
          <w:p w:rsidR="004C0EEA" w:rsidRPr="003F2054" w:rsidRDefault="004C0EEA" w:rsidP="004C0EEA">
            <w:pPr>
              <w:ind w:firstLine="708"/>
              <w:jc w:val="both"/>
              <w:rPr>
                <w:rFonts w:ascii="Times New Roman" w:hAnsi="Times New Roman" w:cs="Times New Roman"/>
                <w:color w:val="000000"/>
                <w:sz w:val="24"/>
                <w:szCs w:val="24"/>
              </w:rPr>
            </w:pPr>
          </w:p>
        </w:tc>
        <w:tc>
          <w:tcPr>
            <w:tcW w:w="3544" w:type="dxa"/>
          </w:tcPr>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lastRenderedPageBreak/>
              <w:t>Статья 397. Обороты по реализации финансовых операций, освобождаемые от налога на добавленную стоимость.</w:t>
            </w: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w:t>
            </w:r>
          </w:p>
          <w:p w:rsidR="004C0EEA" w:rsidRPr="003F2054" w:rsidRDefault="004C0EEA" w:rsidP="004C0E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 к</w:t>
            </w:r>
            <w:r w:rsidRPr="003F2054">
              <w:rPr>
                <w:rFonts w:ascii="Times New Roman" w:hAnsi="Times New Roman" w:cs="Times New Roman"/>
                <w:color w:val="000000"/>
                <w:sz w:val="24"/>
                <w:szCs w:val="24"/>
              </w:rPr>
              <w:t xml:space="preserve"> финансовым операциям, освобождаемым от налога на добавленную стоимость, относятся:</w:t>
            </w: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w:t>
            </w:r>
          </w:p>
          <w:p w:rsidR="004C0EEA" w:rsidRPr="003F2054" w:rsidRDefault="004C0EEA" w:rsidP="004C0EEA">
            <w:pPr>
              <w:ind w:firstLine="708"/>
              <w:jc w:val="both"/>
              <w:rPr>
                <w:rFonts w:ascii="Times New Roman" w:hAnsi="Times New Roman" w:cs="Times New Roman"/>
                <w:color w:val="000000"/>
                <w:sz w:val="24"/>
                <w:szCs w:val="24"/>
              </w:rPr>
            </w:pPr>
          </w:p>
          <w:p w:rsidR="004C0EEA" w:rsidRPr="003F2054" w:rsidRDefault="004C0EEA" w:rsidP="004C0EEA">
            <w:pPr>
              <w:ind w:firstLine="708"/>
              <w:jc w:val="both"/>
              <w:rPr>
                <w:rFonts w:ascii="Times New Roman" w:hAnsi="Times New Roman" w:cs="Times New Roman"/>
                <w:color w:val="000000"/>
                <w:sz w:val="24"/>
                <w:szCs w:val="24"/>
              </w:rPr>
            </w:pPr>
            <w:r w:rsidRPr="003F2054">
              <w:rPr>
                <w:rFonts w:ascii="Times New Roman" w:hAnsi="Times New Roman" w:cs="Times New Roman"/>
                <w:color w:val="000000"/>
                <w:sz w:val="24"/>
                <w:szCs w:val="24"/>
              </w:rPr>
              <w:t>5) операции с производными финансовыми инструментами</w:t>
            </w:r>
            <w:r w:rsidRPr="006D29BC">
              <w:rPr>
                <w:rFonts w:ascii="Times New Roman" w:hAnsi="Times New Roman" w:cs="Times New Roman"/>
                <w:b/>
                <w:color w:val="000000"/>
                <w:sz w:val="24"/>
                <w:szCs w:val="24"/>
              </w:rPr>
              <w:t>, включая встроенные производные финансовые инструменты</w:t>
            </w:r>
            <w:r>
              <w:rPr>
                <w:rFonts w:ascii="Times New Roman" w:hAnsi="Times New Roman" w:cs="Times New Roman"/>
                <w:b/>
                <w:color w:val="000000"/>
                <w:sz w:val="24"/>
                <w:szCs w:val="24"/>
              </w:rPr>
              <w:t>,</w:t>
            </w:r>
            <w:r w:rsidRPr="006D29BC">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в том числе</w:t>
            </w:r>
            <w:r w:rsidRPr="00242C02">
              <w:rPr>
                <w:rFonts w:ascii="Times New Roman" w:hAnsi="Times New Roman" w:cs="Times New Roman"/>
                <w:b/>
                <w:color w:val="000000"/>
                <w:sz w:val="24"/>
                <w:szCs w:val="24"/>
              </w:rPr>
              <w:t xml:space="preserve"> по договору финансового лизинга</w:t>
            </w:r>
            <w:r w:rsidRPr="003F2054">
              <w:rPr>
                <w:rFonts w:ascii="Times New Roman" w:hAnsi="Times New Roman" w:cs="Times New Roman"/>
                <w:color w:val="000000"/>
                <w:sz w:val="24"/>
                <w:szCs w:val="24"/>
              </w:rPr>
              <w:t xml:space="preserve"> </w:t>
            </w:r>
          </w:p>
        </w:tc>
        <w:tc>
          <w:tcPr>
            <w:tcW w:w="4111" w:type="dxa"/>
          </w:tcPr>
          <w:p w:rsidR="004C0EEA" w:rsidRPr="003F2054" w:rsidRDefault="004C0EEA" w:rsidP="004C0EEA">
            <w:pPr>
              <w:ind w:firstLine="708"/>
              <w:jc w:val="both"/>
              <w:rPr>
                <w:rFonts w:ascii="Times New Roman" w:hAnsi="Times New Roman" w:cs="Times New Roman"/>
                <w:color w:val="000000"/>
                <w:sz w:val="24"/>
                <w:szCs w:val="24"/>
              </w:rPr>
            </w:pPr>
            <w:r w:rsidRPr="00673C45">
              <w:rPr>
                <w:rFonts w:ascii="Times New Roman" w:hAnsi="Times New Roman" w:cs="Times New Roman"/>
                <w:color w:val="000000"/>
                <w:sz w:val="24"/>
                <w:szCs w:val="24"/>
              </w:rPr>
              <w:lastRenderedPageBreak/>
              <w:t xml:space="preserve">В связи с тем, что индексация лизингового платежа является </w:t>
            </w:r>
            <w:r w:rsidRPr="00BB23CA">
              <w:rPr>
                <w:rFonts w:ascii="Times New Roman" w:hAnsi="Times New Roman" w:cs="Times New Roman"/>
                <w:color w:val="000000"/>
                <w:sz w:val="24"/>
                <w:szCs w:val="24"/>
              </w:rPr>
              <w:t>производны</w:t>
            </w:r>
            <w:r>
              <w:rPr>
                <w:rFonts w:ascii="Times New Roman" w:hAnsi="Times New Roman" w:cs="Times New Roman"/>
                <w:color w:val="000000"/>
                <w:sz w:val="24"/>
                <w:szCs w:val="24"/>
              </w:rPr>
              <w:t>м</w:t>
            </w:r>
            <w:r w:rsidRPr="00673C45">
              <w:rPr>
                <w:rFonts w:ascii="Times New Roman" w:hAnsi="Times New Roman" w:cs="Times New Roman"/>
                <w:color w:val="000000"/>
                <w:sz w:val="24"/>
                <w:szCs w:val="24"/>
              </w:rPr>
              <w:t xml:space="preserve"> финансовым инструментом, встроенным в договор </w:t>
            </w:r>
            <w:r>
              <w:rPr>
                <w:rFonts w:ascii="Times New Roman" w:hAnsi="Times New Roman" w:cs="Times New Roman"/>
                <w:color w:val="000000"/>
                <w:sz w:val="24"/>
                <w:szCs w:val="24"/>
              </w:rPr>
              <w:t xml:space="preserve">финансового лизинга и подпадает под действие </w:t>
            </w:r>
            <w:hyperlink r:id="rId10" w:tooltip="Международный стандарт финансовой отчетности (IFRS) 9 " w:history="1">
              <w:r w:rsidRPr="00BB23CA">
                <w:rPr>
                  <w:rFonts w:ascii="Times New Roman" w:hAnsi="Times New Roman" w:cs="Times New Roman"/>
                  <w:color w:val="000000"/>
                  <w:sz w:val="24"/>
                  <w:szCs w:val="24"/>
                </w:rPr>
                <w:t>МСФО (IFRS) 9</w:t>
              </w:r>
            </w:hyperlink>
            <w:r w:rsidRPr="00BB23CA">
              <w:rPr>
                <w:rFonts w:ascii="Times New Roman" w:hAnsi="Times New Roman" w:cs="Times New Roman"/>
                <w:color w:val="000000"/>
                <w:sz w:val="24"/>
                <w:szCs w:val="24"/>
              </w:rPr>
              <w:t xml:space="preserve"> «Финансовые инструменты»</w:t>
            </w:r>
            <w:r>
              <w:rPr>
                <w:rFonts w:ascii="Times New Roman" w:hAnsi="Times New Roman" w:cs="Times New Roman"/>
                <w:color w:val="000000"/>
                <w:sz w:val="24"/>
                <w:szCs w:val="24"/>
              </w:rPr>
              <w:t xml:space="preserve">, </w:t>
            </w:r>
            <w:r w:rsidRPr="00BB23CA">
              <w:rPr>
                <w:rFonts w:ascii="Times New Roman" w:hAnsi="Times New Roman" w:cs="Times New Roman"/>
                <w:color w:val="000000"/>
                <w:sz w:val="24"/>
                <w:szCs w:val="24"/>
              </w:rPr>
              <w:t xml:space="preserve">к встроенным производным финансовым инструментам должны применяться нормы налогового законодательства касающиеся </w:t>
            </w:r>
            <w:r w:rsidRPr="00BB23CA">
              <w:rPr>
                <w:rFonts w:ascii="Times New Roman" w:hAnsi="Times New Roman" w:cs="Times New Roman"/>
                <w:color w:val="000000"/>
                <w:sz w:val="24"/>
                <w:szCs w:val="24"/>
              </w:rPr>
              <w:lastRenderedPageBreak/>
              <w:t>прои</w:t>
            </w:r>
            <w:r>
              <w:rPr>
                <w:rFonts w:ascii="Times New Roman" w:hAnsi="Times New Roman" w:cs="Times New Roman"/>
                <w:color w:val="000000"/>
                <w:sz w:val="24"/>
                <w:szCs w:val="24"/>
              </w:rPr>
              <w:t xml:space="preserve">зводных финансовых </w:t>
            </w:r>
            <w:proofErr w:type="spellStart"/>
            <w:r>
              <w:rPr>
                <w:rFonts w:ascii="Times New Roman" w:hAnsi="Times New Roman" w:cs="Times New Roman"/>
                <w:color w:val="000000"/>
                <w:sz w:val="24"/>
                <w:szCs w:val="24"/>
              </w:rPr>
              <w:t>инструментов.</w:t>
            </w:r>
            <w:r w:rsidRPr="003F2054">
              <w:rPr>
                <w:rFonts w:ascii="Times New Roman" w:hAnsi="Times New Roman" w:cs="Times New Roman"/>
                <w:color w:val="000000"/>
                <w:sz w:val="24"/>
                <w:szCs w:val="24"/>
              </w:rPr>
              <w:t>АО</w:t>
            </w:r>
            <w:proofErr w:type="spellEnd"/>
            <w:r w:rsidRPr="003F2054">
              <w:rPr>
                <w:rFonts w:ascii="Times New Roman" w:hAnsi="Times New Roman" w:cs="Times New Roman"/>
                <w:color w:val="000000"/>
                <w:sz w:val="24"/>
                <w:szCs w:val="24"/>
              </w:rPr>
              <w:t xml:space="preserve"> БРК-Лизинг дочерняя организация АО Банк Развития Казахстана.</w:t>
            </w:r>
          </w:p>
          <w:p w:rsidR="004C0EEA" w:rsidRDefault="004C0EEA" w:rsidP="004C0E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подпунктом 5) пункта 2) статьи 397 Налогового кодекса №120-</w:t>
            </w:r>
            <w:r w:rsidRPr="003F2054">
              <w:rPr>
                <w:rFonts w:ascii="Times New Roman" w:hAnsi="Times New Roman" w:cs="Times New Roman"/>
                <w:color w:val="000000"/>
                <w:sz w:val="24"/>
                <w:szCs w:val="24"/>
              </w:rPr>
              <w:t>VI</w:t>
            </w:r>
            <w:r>
              <w:rPr>
                <w:rFonts w:ascii="Times New Roman" w:hAnsi="Times New Roman" w:cs="Times New Roman"/>
                <w:color w:val="000000"/>
                <w:sz w:val="24"/>
                <w:szCs w:val="24"/>
              </w:rPr>
              <w:t xml:space="preserve"> от 25.12.2017г. (далее – действующий Налоговый Кодекс), к</w:t>
            </w:r>
            <w:r w:rsidRPr="007C6EE8">
              <w:rPr>
                <w:rFonts w:ascii="Times New Roman" w:hAnsi="Times New Roman" w:cs="Times New Roman"/>
                <w:color w:val="000000"/>
                <w:sz w:val="24"/>
                <w:szCs w:val="24"/>
              </w:rPr>
              <w:t xml:space="preserve"> финансовым операциям, освобождаемым от налога на добавленную стоимость, относятся операции с производными финансовыми инструментами</w:t>
            </w:r>
            <w:r>
              <w:rPr>
                <w:rFonts w:ascii="Times New Roman" w:hAnsi="Times New Roman" w:cs="Times New Roman"/>
                <w:color w:val="000000"/>
                <w:sz w:val="24"/>
                <w:szCs w:val="24"/>
              </w:rPr>
              <w:t>.</w:t>
            </w:r>
          </w:p>
          <w:p w:rsidR="004C0EEA" w:rsidRPr="002109AA" w:rsidRDefault="004C0EEA" w:rsidP="004C0EEA">
            <w:pPr>
              <w:ind w:firstLine="708"/>
              <w:jc w:val="both"/>
              <w:rPr>
                <w:rFonts w:ascii="Times New Roman" w:hAnsi="Times New Roman" w:cs="Times New Roman"/>
                <w:color w:val="000000"/>
                <w:sz w:val="24"/>
                <w:szCs w:val="24"/>
              </w:rPr>
            </w:pPr>
            <w:r w:rsidRPr="002109AA">
              <w:rPr>
                <w:rFonts w:ascii="Times New Roman" w:hAnsi="Times New Roman" w:cs="Times New Roman"/>
                <w:color w:val="000000"/>
                <w:sz w:val="24"/>
                <w:szCs w:val="24"/>
              </w:rPr>
              <w:t>Согласно статьи 128-2 Гражданского Кодекса, производный финансовый инструмент — договор, стоимость которого зависит от величины (включая колебание величины) базового актива договора, предусматривающий осуществление расчета по данному договору в будущем. К производным финансовым инструментам относятся опционы, фьючерсы, форварды, свопы и другие производные финансовые инструменты, отвечающие данным признакам, в том числе представляющие собой комбинацию вышеперечисленных производных финансовых инструментов.</w:t>
            </w:r>
            <w:bookmarkStart w:id="4" w:name="SUB128020300"/>
            <w:bookmarkEnd w:id="4"/>
            <w:r>
              <w:rPr>
                <w:rFonts w:ascii="Times New Roman" w:hAnsi="Times New Roman" w:cs="Times New Roman"/>
                <w:color w:val="000000"/>
                <w:sz w:val="24"/>
                <w:szCs w:val="24"/>
              </w:rPr>
              <w:t xml:space="preserve"> </w:t>
            </w:r>
            <w:r w:rsidRPr="002109AA">
              <w:rPr>
                <w:rFonts w:ascii="Times New Roman" w:hAnsi="Times New Roman" w:cs="Times New Roman"/>
                <w:color w:val="000000"/>
                <w:sz w:val="24"/>
                <w:szCs w:val="24"/>
              </w:rPr>
              <w:t xml:space="preserve">Базовыми активами производных финансовых инструментов являются товары, стандартизированные партии товаров, ценные бумаги, валюта, индексы, процентные ставки и </w:t>
            </w:r>
            <w:r w:rsidRPr="002109AA">
              <w:rPr>
                <w:rFonts w:ascii="Times New Roman" w:hAnsi="Times New Roman" w:cs="Times New Roman"/>
                <w:color w:val="000000"/>
                <w:sz w:val="24"/>
                <w:szCs w:val="24"/>
              </w:rPr>
              <w:lastRenderedPageBreak/>
              <w:t>другие активы, имеющие рыночную стоимость, будущее событие или обстоятельство, производные финансовые инструменты.</w:t>
            </w:r>
          </w:p>
          <w:p w:rsidR="004C0EEA" w:rsidRDefault="004C0EEA" w:rsidP="004C0EEA">
            <w:pPr>
              <w:ind w:firstLine="708"/>
              <w:jc w:val="both"/>
              <w:rPr>
                <w:rFonts w:ascii="Times New Roman" w:hAnsi="Times New Roman" w:cs="Times New Roman"/>
                <w:color w:val="000000"/>
                <w:sz w:val="24"/>
                <w:szCs w:val="24"/>
              </w:rPr>
            </w:pPr>
            <w:r w:rsidRPr="00BB23CA">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целях снижения валютных рисков и</w:t>
            </w:r>
            <w:r w:rsidRPr="00673C45">
              <w:rPr>
                <w:rFonts w:ascii="Times New Roman" w:hAnsi="Times New Roman" w:cs="Times New Roman"/>
                <w:color w:val="000000"/>
                <w:sz w:val="24"/>
                <w:szCs w:val="24"/>
              </w:rPr>
              <w:t xml:space="preserve"> сохранения реальной величины денежных требований в условиях инфляции</w:t>
            </w:r>
            <w:r>
              <w:rPr>
                <w:rFonts w:ascii="Times New Roman" w:hAnsi="Times New Roman" w:cs="Times New Roman"/>
                <w:color w:val="000000"/>
                <w:sz w:val="24"/>
                <w:szCs w:val="24"/>
              </w:rPr>
              <w:t>, лизинговыми к</w:t>
            </w:r>
            <w:r w:rsidRPr="00BB23CA">
              <w:rPr>
                <w:rFonts w:ascii="Times New Roman" w:hAnsi="Times New Roman" w:cs="Times New Roman"/>
                <w:color w:val="000000"/>
                <w:sz w:val="24"/>
                <w:szCs w:val="24"/>
              </w:rPr>
              <w:t>омпани</w:t>
            </w:r>
            <w:r>
              <w:rPr>
                <w:rFonts w:ascii="Times New Roman" w:hAnsi="Times New Roman" w:cs="Times New Roman"/>
                <w:color w:val="000000"/>
                <w:sz w:val="24"/>
                <w:szCs w:val="24"/>
              </w:rPr>
              <w:t>ями</w:t>
            </w:r>
            <w:r w:rsidRPr="00BB23CA">
              <w:rPr>
                <w:rFonts w:ascii="Times New Roman" w:hAnsi="Times New Roman" w:cs="Times New Roman"/>
                <w:color w:val="000000"/>
                <w:sz w:val="24"/>
                <w:szCs w:val="24"/>
              </w:rPr>
              <w:t xml:space="preserve"> предусмотрен</w:t>
            </w:r>
            <w:r>
              <w:rPr>
                <w:rFonts w:ascii="Times New Roman" w:hAnsi="Times New Roman" w:cs="Times New Roman"/>
                <w:color w:val="000000"/>
                <w:sz w:val="24"/>
                <w:szCs w:val="24"/>
              </w:rPr>
              <w:t>ы</w:t>
            </w:r>
            <w:r w:rsidRPr="00BB23CA">
              <w:rPr>
                <w:rFonts w:ascii="Times New Roman" w:hAnsi="Times New Roman" w:cs="Times New Roman"/>
                <w:color w:val="000000"/>
                <w:sz w:val="24"/>
                <w:szCs w:val="24"/>
              </w:rPr>
              <w:t xml:space="preserve"> в договорах финансового лизинга применение коэффициента индексации к суммам лизинговых платежей.</w:t>
            </w:r>
            <w:r w:rsidRPr="003F2054">
              <w:rPr>
                <w:rFonts w:ascii="Times New Roman" w:hAnsi="Times New Roman" w:cs="Times New Roman"/>
                <w:color w:val="000000"/>
                <w:sz w:val="24"/>
                <w:szCs w:val="24"/>
              </w:rPr>
              <w:t xml:space="preserve"> </w:t>
            </w:r>
            <w:r w:rsidRPr="00673C45">
              <w:rPr>
                <w:rFonts w:ascii="Times New Roman" w:hAnsi="Times New Roman" w:cs="Times New Roman"/>
                <w:color w:val="000000"/>
                <w:sz w:val="24"/>
                <w:szCs w:val="24"/>
              </w:rPr>
              <w:t>Коэффициент индексации исчисляется как частное от деления официального курса валюты НБ РК на дату оплаты к официальному курсу валюты НБ РК на дату заключения договора финансового лизинга.</w:t>
            </w:r>
          </w:p>
          <w:p w:rsidR="004C0EEA" w:rsidRDefault="004C0EEA" w:rsidP="004C0EEA">
            <w:pPr>
              <w:ind w:firstLine="708"/>
              <w:jc w:val="both"/>
              <w:rPr>
                <w:rFonts w:ascii="Times New Roman" w:hAnsi="Times New Roman" w:cs="Times New Roman"/>
                <w:color w:val="000000"/>
                <w:sz w:val="24"/>
                <w:szCs w:val="24"/>
              </w:rPr>
            </w:pPr>
            <w:r w:rsidRPr="00673C45">
              <w:rPr>
                <w:rFonts w:ascii="Times New Roman" w:hAnsi="Times New Roman" w:cs="Times New Roman"/>
                <w:color w:val="000000"/>
                <w:sz w:val="24"/>
                <w:szCs w:val="24"/>
              </w:rPr>
              <w:t xml:space="preserve">В связи с тем, что индексация лизингового платежа является </w:t>
            </w:r>
            <w:r w:rsidRPr="00BB23CA">
              <w:rPr>
                <w:rFonts w:ascii="Times New Roman" w:hAnsi="Times New Roman" w:cs="Times New Roman"/>
                <w:color w:val="000000"/>
                <w:sz w:val="24"/>
                <w:szCs w:val="24"/>
              </w:rPr>
              <w:t>производны</w:t>
            </w:r>
            <w:r>
              <w:rPr>
                <w:rFonts w:ascii="Times New Roman" w:hAnsi="Times New Roman" w:cs="Times New Roman"/>
                <w:color w:val="000000"/>
                <w:sz w:val="24"/>
                <w:szCs w:val="24"/>
              </w:rPr>
              <w:t>м</w:t>
            </w:r>
            <w:r w:rsidRPr="00673C45">
              <w:rPr>
                <w:rFonts w:ascii="Times New Roman" w:hAnsi="Times New Roman" w:cs="Times New Roman"/>
                <w:color w:val="000000"/>
                <w:sz w:val="24"/>
                <w:szCs w:val="24"/>
              </w:rPr>
              <w:t xml:space="preserve"> финансовым инструментом, встроенным в договор </w:t>
            </w:r>
            <w:r>
              <w:rPr>
                <w:rFonts w:ascii="Times New Roman" w:hAnsi="Times New Roman" w:cs="Times New Roman"/>
                <w:color w:val="000000"/>
                <w:sz w:val="24"/>
                <w:szCs w:val="24"/>
              </w:rPr>
              <w:t xml:space="preserve">финансового лизинга и подпадает под действие </w:t>
            </w:r>
            <w:hyperlink r:id="rId11" w:tooltip="Международный стандарт финансовой отчетности (IFRS) 9 " w:history="1">
              <w:r w:rsidRPr="00BB23CA">
                <w:rPr>
                  <w:rFonts w:ascii="Times New Roman" w:hAnsi="Times New Roman" w:cs="Times New Roman"/>
                  <w:color w:val="000000"/>
                  <w:sz w:val="24"/>
                  <w:szCs w:val="24"/>
                </w:rPr>
                <w:t>МСФО (IFRS) 9</w:t>
              </w:r>
            </w:hyperlink>
            <w:r w:rsidRPr="00BB23CA">
              <w:rPr>
                <w:rFonts w:ascii="Times New Roman" w:hAnsi="Times New Roman" w:cs="Times New Roman"/>
                <w:color w:val="000000"/>
                <w:sz w:val="24"/>
                <w:szCs w:val="24"/>
              </w:rPr>
              <w:t xml:space="preserve"> «Финансовые инструменты»</w:t>
            </w:r>
            <w:r>
              <w:rPr>
                <w:rFonts w:ascii="Times New Roman" w:hAnsi="Times New Roman" w:cs="Times New Roman"/>
                <w:color w:val="000000"/>
                <w:sz w:val="24"/>
                <w:szCs w:val="24"/>
              </w:rPr>
              <w:t xml:space="preserve">, </w:t>
            </w:r>
            <w:r w:rsidRPr="00BB23CA">
              <w:rPr>
                <w:rFonts w:ascii="Times New Roman" w:hAnsi="Times New Roman" w:cs="Times New Roman"/>
                <w:color w:val="000000"/>
                <w:sz w:val="24"/>
                <w:szCs w:val="24"/>
              </w:rPr>
              <w:t>Компания полагает, что к встроенным производным финансовым инструментам должны применяться нормы налогового законодательства касающиеся прои</w:t>
            </w:r>
            <w:r>
              <w:rPr>
                <w:rFonts w:ascii="Times New Roman" w:hAnsi="Times New Roman" w:cs="Times New Roman"/>
                <w:color w:val="000000"/>
                <w:sz w:val="24"/>
                <w:szCs w:val="24"/>
              </w:rPr>
              <w:t xml:space="preserve">зводных финансовых инструментов, и подлежать освобождению от обложения НДС. </w:t>
            </w:r>
          </w:p>
          <w:p w:rsidR="004C0EEA" w:rsidRPr="005D6CE0" w:rsidRDefault="004C0EEA" w:rsidP="004C0E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Вместе с тем</w:t>
            </w:r>
            <w:r w:rsidRPr="001F2D0B">
              <w:rPr>
                <w:rFonts w:ascii="Times New Roman" w:hAnsi="Times New Roman" w:cs="Times New Roman"/>
                <w:color w:val="000000"/>
                <w:sz w:val="24"/>
                <w:szCs w:val="24"/>
              </w:rPr>
              <w:t>, согласно Налоговому Кодексу</w:t>
            </w:r>
            <w:r>
              <w:rPr>
                <w:rFonts w:ascii="Times New Roman" w:hAnsi="Times New Roman" w:cs="Times New Roman"/>
                <w:color w:val="000000"/>
                <w:sz w:val="24"/>
                <w:szCs w:val="24"/>
              </w:rPr>
              <w:t xml:space="preserve"> №99-</w:t>
            </w:r>
            <w:r w:rsidRPr="003F2054">
              <w:rPr>
                <w:rFonts w:ascii="Times New Roman" w:hAnsi="Times New Roman" w:cs="Times New Roman"/>
                <w:color w:val="000000"/>
                <w:sz w:val="24"/>
                <w:szCs w:val="24"/>
              </w:rPr>
              <w:t>IV</w:t>
            </w:r>
            <w:r w:rsidRPr="00A843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lastRenderedPageBreak/>
              <w:t>10.12.2008г., действовавшему в редакции до 2014</w:t>
            </w:r>
            <w:r w:rsidRPr="001F2D0B">
              <w:rPr>
                <w:rFonts w:ascii="Times New Roman" w:hAnsi="Times New Roman" w:cs="Times New Roman"/>
                <w:color w:val="000000"/>
                <w:sz w:val="24"/>
                <w:szCs w:val="24"/>
              </w:rPr>
              <w:t xml:space="preserve"> года, такая индексация </w:t>
            </w:r>
            <w:r>
              <w:rPr>
                <w:rFonts w:ascii="Times New Roman" w:hAnsi="Times New Roman" w:cs="Times New Roman"/>
                <w:color w:val="000000"/>
                <w:sz w:val="24"/>
                <w:szCs w:val="24"/>
              </w:rPr>
              <w:t xml:space="preserve">также освобождалась от обложения НДС, т.к. </w:t>
            </w:r>
            <w:r w:rsidRPr="001F2D0B">
              <w:rPr>
                <w:rFonts w:ascii="Times New Roman" w:hAnsi="Times New Roman" w:cs="Times New Roman"/>
                <w:color w:val="000000"/>
                <w:sz w:val="24"/>
                <w:szCs w:val="24"/>
              </w:rPr>
              <w:t>считалась вознаграждением</w:t>
            </w:r>
            <w:r>
              <w:rPr>
                <w:rFonts w:ascii="Times New Roman" w:hAnsi="Times New Roman" w:cs="Times New Roman"/>
                <w:color w:val="000000"/>
                <w:sz w:val="24"/>
                <w:szCs w:val="24"/>
              </w:rPr>
              <w:t xml:space="preserve"> по финансовому лизингу</w:t>
            </w:r>
            <w:r w:rsidRPr="001F2D0B">
              <w:rPr>
                <w:rFonts w:ascii="Times New Roman" w:hAnsi="Times New Roman" w:cs="Times New Roman"/>
                <w:color w:val="000000"/>
                <w:sz w:val="24"/>
                <w:szCs w:val="24"/>
              </w:rPr>
              <w:t xml:space="preserve"> согласно пп.39 п.1 ст.12: </w:t>
            </w:r>
            <w:r>
              <w:rPr>
                <w:rFonts w:ascii="Times New Roman" w:hAnsi="Times New Roman" w:cs="Times New Roman"/>
                <w:color w:val="000000"/>
                <w:sz w:val="24"/>
                <w:szCs w:val="24"/>
              </w:rPr>
              <w:t xml:space="preserve">- </w:t>
            </w:r>
            <w:r w:rsidRPr="001F2D0B">
              <w:rPr>
                <w:rFonts w:ascii="Times New Roman" w:hAnsi="Times New Roman" w:cs="Times New Roman"/>
                <w:color w:val="000000"/>
                <w:sz w:val="24"/>
                <w:szCs w:val="24"/>
              </w:rPr>
              <w:t>«вознаграждение – все выплаты: …связанные с передачей имущества в финансовый лизинг, за исключением стоимости по которой такое имущество получено (передано)»</w:t>
            </w:r>
            <w:r>
              <w:rPr>
                <w:rFonts w:ascii="Times New Roman" w:hAnsi="Times New Roman" w:cs="Times New Roman"/>
                <w:color w:val="000000"/>
                <w:sz w:val="24"/>
                <w:szCs w:val="24"/>
              </w:rPr>
              <w:t>,</w:t>
            </w:r>
            <w:r w:rsidRPr="001F2D0B">
              <w:rPr>
                <w:rFonts w:ascii="Times New Roman" w:hAnsi="Times New Roman" w:cs="Times New Roman"/>
                <w:color w:val="000000"/>
                <w:sz w:val="24"/>
                <w:szCs w:val="24"/>
              </w:rPr>
              <w:t xml:space="preserve"> и </w:t>
            </w:r>
            <w:r>
              <w:rPr>
                <w:rFonts w:ascii="Times New Roman" w:hAnsi="Times New Roman" w:cs="Times New Roman"/>
                <w:color w:val="000000"/>
                <w:sz w:val="24"/>
                <w:szCs w:val="24"/>
              </w:rPr>
              <w:t>включалась</w:t>
            </w:r>
            <w:r w:rsidRPr="001F2D0B">
              <w:rPr>
                <w:rFonts w:ascii="Times New Roman" w:hAnsi="Times New Roman" w:cs="Times New Roman"/>
                <w:color w:val="000000"/>
                <w:sz w:val="24"/>
                <w:szCs w:val="24"/>
              </w:rPr>
              <w:t xml:space="preserve"> в сумму счета-фактуры, выписанной по вознаграждению. Однако с 2014 года данный пункт Налогового Кодекса изменился и звуч</w:t>
            </w:r>
            <w:r>
              <w:rPr>
                <w:rFonts w:ascii="Times New Roman" w:hAnsi="Times New Roman" w:cs="Times New Roman"/>
                <w:color w:val="000000"/>
                <w:sz w:val="24"/>
                <w:szCs w:val="24"/>
              </w:rPr>
              <w:t>ал</w:t>
            </w:r>
            <w:r w:rsidRPr="001F2D0B">
              <w:rPr>
                <w:rFonts w:ascii="Times New Roman" w:hAnsi="Times New Roman" w:cs="Times New Roman"/>
                <w:color w:val="000000"/>
                <w:sz w:val="24"/>
                <w:szCs w:val="24"/>
              </w:rPr>
              <w:t xml:space="preserve"> так: «вознаграждение - все выплаты: связанные с передачей имущества по договору финансового лизинга, в том числе с таким договором выплаты взаимосвязанной стороне, за исключением: стоимости, по которой такое имущество получено (передано), выплат в связи с изменением размера лизинговых платежей при применении коэффициента (индекса) в соответствии с условиями договора финансового лизинга, выплат лицу, которое не является для лизингополучателя лизингода</w:t>
            </w:r>
            <w:r>
              <w:rPr>
                <w:rFonts w:ascii="Times New Roman" w:hAnsi="Times New Roman" w:cs="Times New Roman"/>
                <w:color w:val="000000"/>
                <w:sz w:val="24"/>
                <w:szCs w:val="24"/>
              </w:rPr>
              <w:t>телем, взаимосвязанной стороной</w:t>
            </w:r>
            <w:r w:rsidRPr="001F2D0B">
              <w:rPr>
                <w:rFonts w:ascii="Times New Roman" w:hAnsi="Times New Roman" w:cs="Times New Roman"/>
                <w:color w:val="000000"/>
                <w:sz w:val="24"/>
                <w:szCs w:val="24"/>
              </w:rPr>
              <w:t>»</w:t>
            </w:r>
            <w:r>
              <w:rPr>
                <w:rFonts w:ascii="Times New Roman" w:hAnsi="Times New Roman" w:cs="Times New Roman"/>
                <w:color w:val="000000"/>
                <w:sz w:val="24"/>
                <w:szCs w:val="24"/>
              </w:rPr>
              <w:t>.</w:t>
            </w:r>
            <w:r w:rsidRPr="001F2D0B">
              <w:rPr>
                <w:rFonts w:ascii="Times New Roman" w:hAnsi="Times New Roman" w:cs="Times New Roman"/>
                <w:color w:val="000000"/>
                <w:sz w:val="24"/>
                <w:szCs w:val="24"/>
              </w:rPr>
              <w:t xml:space="preserve"> Таким образом, </w:t>
            </w:r>
            <w:r>
              <w:rPr>
                <w:rFonts w:ascii="Times New Roman" w:hAnsi="Times New Roman" w:cs="Times New Roman"/>
                <w:color w:val="000000"/>
                <w:sz w:val="24"/>
                <w:szCs w:val="24"/>
              </w:rPr>
              <w:t xml:space="preserve">в Налоговом Кодексе, действовавшем в период с 2014 по 2017 гг., </w:t>
            </w:r>
            <w:r w:rsidRPr="001F2D0B">
              <w:rPr>
                <w:rFonts w:ascii="Times New Roman" w:hAnsi="Times New Roman" w:cs="Times New Roman"/>
                <w:color w:val="000000"/>
                <w:sz w:val="24"/>
                <w:szCs w:val="24"/>
              </w:rPr>
              <w:t xml:space="preserve">полученные выплаты </w:t>
            </w:r>
            <w:r>
              <w:rPr>
                <w:rFonts w:ascii="Times New Roman" w:hAnsi="Times New Roman" w:cs="Times New Roman"/>
                <w:color w:val="000000"/>
                <w:sz w:val="24"/>
                <w:szCs w:val="24"/>
              </w:rPr>
              <w:t>по</w:t>
            </w:r>
            <w:r w:rsidRPr="001F2D0B">
              <w:rPr>
                <w:rFonts w:ascii="Times New Roman" w:hAnsi="Times New Roman" w:cs="Times New Roman"/>
                <w:color w:val="000000"/>
                <w:sz w:val="24"/>
                <w:szCs w:val="24"/>
              </w:rPr>
              <w:t xml:space="preserve"> индексации лизинговых платежей </w:t>
            </w:r>
            <w:r>
              <w:rPr>
                <w:rFonts w:ascii="Times New Roman" w:hAnsi="Times New Roman" w:cs="Times New Roman"/>
                <w:color w:val="000000"/>
                <w:sz w:val="24"/>
                <w:szCs w:val="24"/>
              </w:rPr>
              <w:t xml:space="preserve">в </w:t>
            </w:r>
            <w:r>
              <w:rPr>
                <w:rFonts w:ascii="Times New Roman" w:hAnsi="Times New Roman" w:cs="Times New Roman"/>
                <w:color w:val="000000"/>
                <w:sz w:val="24"/>
                <w:szCs w:val="24"/>
              </w:rPr>
              <w:lastRenderedPageBreak/>
              <w:t xml:space="preserve">качестве </w:t>
            </w:r>
            <w:r w:rsidRPr="001F2D0B">
              <w:rPr>
                <w:rFonts w:ascii="Times New Roman" w:hAnsi="Times New Roman" w:cs="Times New Roman"/>
                <w:color w:val="000000"/>
                <w:sz w:val="24"/>
                <w:szCs w:val="24"/>
              </w:rPr>
              <w:t>вознаграждени</w:t>
            </w:r>
            <w:r>
              <w:rPr>
                <w:rFonts w:ascii="Times New Roman" w:hAnsi="Times New Roman" w:cs="Times New Roman"/>
                <w:color w:val="000000"/>
                <w:sz w:val="24"/>
                <w:szCs w:val="24"/>
              </w:rPr>
              <w:t>я по финансовому лизингу не признавались. При этом лизинговые компании в указанный период осуществляли освобождение от НДС суммы индексации лизинговых платежей согласно подпункта 4) пункта 2) статьи 250 Налогового кодекса № 99-</w:t>
            </w:r>
            <w:r w:rsidRPr="003F2054">
              <w:rPr>
                <w:rFonts w:ascii="Times New Roman" w:hAnsi="Times New Roman" w:cs="Times New Roman"/>
                <w:color w:val="000000"/>
                <w:sz w:val="24"/>
                <w:szCs w:val="24"/>
              </w:rPr>
              <w:t>IV</w:t>
            </w:r>
            <w:r w:rsidRPr="00A843A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от 10.12.2008г., согласно которому </w:t>
            </w:r>
            <w:r w:rsidRPr="007C6EE8">
              <w:rPr>
                <w:rFonts w:ascii="Times New Roman" w:hAnsi="Times New Roman" w:cs="Times New Roman"/>
                <w:color w:val="000000"/>
                <w:sz w:val="24"/>
                <w:szCs w:val="24"/>
              </w:rPr>
              <w:t>операции с производными финансовыми инструментами</w:t>
            </w:r>
            <w:r>
              <w:rPr>
                <w:rFonts w:ascii="Times New Roman" w:hAnsi="Times New Roman" w:cs="Times New Roman"/>
                <w:color w:val="000000"/>
                <w:sz w:val="24"/>
                <w:szCs w:val="24"/>
              </w:rPr>
              <w:t xml:space="preserve"> освобождались от НДС. </w:t>
            </w:r>
          </w:p>
        </w:tc>
        <w:tc>
          <w:tcPr>
            <w:tcW w:w="2693" w:type="dxa"/>
          </w:tcPr>
          <w:p w:rsidR="004C0EEA" w:rsidRDefault="004C0EEA" w:rsidP="004C0EEA">
            <w:r w:rsidRPr="0018605B">
              <w:rPr>
                <w:rFonts w:ascii="Times New Roman" w:eastAsia="Times New Roman" w:hAnsi="Times New Roman" w:cs="Times New Roman"/>
                <w:b/>
                <w:color w:val="000000"/>
                <w:sz w:val="24"/>
                <w:szCs w:val="24"/>
                <w:lang w:eastAsia="ru-RU"/>
              </w:rPr>
              <w:lastRenderedPageBreak/>
              <w:t>АО БРК-Лизинг ДО АО Банк Развития Казахстана</w:t>
            </w:r>
          </w:p>
        </w:tc>
      </w:tr>
      <w:tr w:rsidR="004C0EEA" w:rsidRPr="00DE0211" w:rsidTr="004C0EEA">
        <w:tc>
          <w:tcPr>
            <w:tcW w:w="709" w:type="dxa"/>
          </w:tcPr>
          <w:p w:rsidR="004C0EEA" w:rsidRPr="004C0EEA" w:rsidRDefault="004C0EEA" w:rsidP="004C0EEA">
            <w:pPr>
              <w:pStyle w:val="a5"/>
              <w:numPr>
                <w:ilvl w:val="0"/>
                <w:numId w:val="3"/>
              </w:numPr>
              <w:ind w:left="0" w:firstLine="0"/>
              <w:rPr>
                <w:rFonts w:ascii="Times New Roman" w:hAnsi="Times New Roman" w:cs="Times New Roman"/>
                <w:sz w:val="28"/>
                <w:szCs w:val="28"/>
              </w:rPr>
            </w:pPr>
            <w:r w:rsidRPr="004C0EEA">
              <w:rPr>
                <w:rFonts w:ascii="Times New Roman" w:hAnsi="Times New Roman" w:cs="Times New Roman"/>
                <w:sz w:val="28"/>
                <w:szCs w:val="28"/>
              </w:rPr>
              <w:lastRenderedPageBreak/>
              <w:t>2</w:t>
            </w:r>
          </w:p>
        </w:tc>
        <w:tc>
          <w:tcPr>
            <w:tcW w:w="1701" w:type="dxa"/>
          </w:tcPr>
          <w:p w:rsidR="004C0EEA" w:rsidRPr="005D6CE0" w:rsidRDefault="004C0EEA" w:rsidP="000F6365">
            <w:pPr>
              <w:jc w:val="both"/>
              <w:rPr>
                <w:rFonts w:ascii="Times New Roman" w:hAnsi="Times New Roman" w:cs="Times New Roman"/>
                <w:bCs/>
                <w:sz w:val="24"/>
                <w:szCs w:val="24"/>
              </w:rPr>
            </w:pPr>
            <w:r w:rsidRPr="005D6CE0">
              <w:rPr>
                <w:rFonts w:ascii="Times New Roman" w:hAnsi="Times New Roman" w:cs="Times New Roman"/>
                <w:sz w:val="24"/>
                <w:szCs w:val="24"/>
              </w:rPr>
              <w:t>Подпункт 3) пункта 2) статьи 383 Налогового Кодекса</w:t>
            </w:r>
          </w:p>
        </w:tc>
        <w:tc>
          <w:tcPr>
            <w:tcW w:w="3260" w:type="dxa"/>
          </w:tcPr>
          <w:p w:rsidR="004C0EEA" w:rsidRPr="00F81F2E" w:rsidRDefault="004C0EEA" w:rsidP="000F6365">
            <w:pPr>
              <w:pStyle w:val="a5"/>
              <w:ind w:left="0"/>
              <w:jc w:val="both"/>
              <w:rPr>
                <w:rFonts w:ascii="Times New Roman" w:hAnsi="Times New Roman" w:cs="Times New Roman"/>
                <w:b/>
                <w:bCs/>
                <w:sz w:val="24"/>
                <w:szCs w:val="24"/>
              </w:rPr>
            </w:pPr>
            <w:r w:rsidRPr="00F81F2E">
              <w:rPr>
                <w:rFonts w:ascii="Times New Roman" w:hAnsi="Times New Roman" w:cs="Times New Roman"/>
                <w:b/>
                <w:bCs/>
                <w:sz w:val="24"/>
                <w:szCs w:val="24"/>
              </w:rPr>
              <w:t>П</w:t>
            </w:r>
            <w:r>
              <w:rPr>
                <w:rFonts w:ascii="Times New Roman" w:hAnsi="Times New Roman" w:cs="Times New Roman"/>
                <w:b/>
                <w:bCs/>
                <w:sz w:val="24"/>
                <w:szCs w:val="24"/>
              </w:rPr>
              <w:t>одпункт 3) п</w:t>
            </w:r>
            <w:r w:rsidRPr="00F81F2E">
              <w:rPr>
                <w:rFonts w:ascii="Times New Roman" w:hAnsi="Times New Roman" w:cs="Times New Roman"/>
                <w:b/>
                <w:bCs/>
                <w:sz w:val="24"/>
                <w:szCs w:val="24"/>
              </w:rPr>
              <w:t>ункт</w:t>
            </w:r>
            <w:r>
              <w:rPr>
                <w:rFonts w:ascii="Times New Roman" w:hAnsi="Times New Roman" w:cs="Times New Roman"/>
                <w:b/>
                <w:bCs/>
                <w:sz w:val="24"/>
                <w:szCs w:val="24"/>
              </w:rPr>
              <w:t>а 2 Статьи</w:t>
            </w:r>
            <w:r w:rsidRPr="00F81F2E">
              <w:rPr>
                <w:rFonts w:ascii="Times New Roman" w:hAnsi="Times New Roman" w:cs="Times New Roman"/>
                <w:b/>
                <w:bCs/>
                <w:sz w:val="24"/>
                <w:szCs w:val="24"/>
              </w:rPr>
              <w:t xml:space="preserve"> 383. Корректировка размера оборота</w:t>
            </w:r>
          </w:p>
          <w:p w:rsidR="004C0EEA" w:rsidRPr="00F81F2E" w:rsidRDefault="004C0EEA" w:rsidP="000F6365">
            <w:pPr>
              <w:pStyle w:val="a5"/>
              <w:ind w:left="0"/>
              <w:jc w:val="both"/>
              <w:rPr>
                <w:rFonts w:ascii="Times New Roman" w:hAnsi="Times New Roman" w:cs="Times New Roman"/>
                <w:bCs/>
                <w:sz w:val="24"/>
                <w:szCs w:val="24"/>
              </w:rPr>
            </w:pPr>
            <w:r w:rsidRPr="00F81F2E">
              <w:rPr>
                <w:rFonts w:ascii="Times New Roman" w:hAnsi="Times New Roman" w:cs="Times New Roman"/>
                <w:bCs/>
                <w:sz w:val="24"/>
                <w:szCs w:val="24"/>
              </w:rPr>
              <w:t xml:space="preserve">2. корректировка размера оборота производится в случаях </w:t>
            </w:r>
          </w:p>
          <w:p w:rsidR="004C0EEA" w:rsidRPr="00F81F2E" w:rsidRDefault="004C0EEA" w:rsidP="000F6365">
            <w:pPr>
              <w:pStyle w:val="a5"/>
              <w:ind w:left="0"/>
              <w:jc w:val="both"/>
              <w:rPr>
                <w:rFonts w:ascii="Times New Roman" w:hAnsi="Times New Roman" w:cs="Times New Roman"/>
                <w:b/>
                <w:bCs/>
                <w:sz w:val="24"/>
                <w:szCs w:val="24"/>
              </w:rPr>
            </w:pPr>
            <w:r w:rsidRPr="00F81F2E">
              <w:rPr>
                <w:rFonts w:ascii="Times New Roman" w:hAnsi="Times New Roman" w:cs="Times New Roman"/>
                <w:bCs/>
                <w:sz w:val="24"/>
                <w:szCs w:val="24"/>
              </w:rPr>
              <w:t xml:space="preserve">3) изменения цены, компенсации за реализованные товары, работы, услуги. Положение данного подпункта применяется также при изменении подлежащей оплате стоимости реализованных товаров, работ, услуг исходя из условий договора, </w:t>
            </w:r>
            <w:r w:rsidRPr="00F81F2E">
              <w:rPr>
                <w:rFonts w:ascii="Times New Roman" w:hAnsi="Times New Roman" w:cs="Times New Roman"/>
                <w:b/>
                <w:bCs/>
                <w:sz w:val="24"/>
                <w:szCs w:val="24"/>
              </w:rPr>
              <w:t>в том числе в связи с применением коэффициента (индекса)</w:t>
            </w:r>
            <w:r w:rsidRPr="00F81F2E">
              <w:rPr>
                <w:rFonts w:ascii="Times New Roman" w:hAnsi="Times New Roman" w:cs="Times New Roman"/>
                <w:bCs/>
                <w:sz w:val="24"/>
                <w:szCs w:val="24"/>
              </w:rPr>
              <w:t>.</w:t>
            </w:r>
          </w:p>
        </w:tc>
        <w:tc>
          <w:tcPr>
            <w:tcW w:w="3544" w:type="dxa"/>
          </w:tcPr>
          <w:p w:rsidR="004C0EEA" w:rsidRPr="00F81F2E" w:rsidRDefault="004C0EEA" w:rsidP="000F6365">
            <w:pPr>
              <w:pStyle w:val="a5"/>
              <w:ind w:left="0"/>
              <w:jc w:val="both"/>
              <w:rPr>
                <w:rFonts w:ascii="Times New Roman" w:hAnsi="Times New Roman" w:cs="Times New Roman"/>
                <w:b/>
                <w:bCs/>
                <w:sz w:val="24"/>
                <w:szCs w:val="24"/>
              </w:rPr>
            </w:pPr>
            <w:r w:rsidRPr="00F81F2E">
              <w:rPr>
                <w:rFonts w:ascii="Times New Roman" w:hAnsi="Times New Roman" w:cs="Times New Roman"/>
                <w:b/>
                <w:bCs/>
                <w:sz w:val="24"/>
                <w:szCs w:val="24"/>
              </w:rPr>
              <w:t>П</w:t>
            </w:r>
            <w:r>
              <w:rPr>
                <w:rFonts w:ascii="Times New Roman" w:hAnsi="Times New Roman" w:cs="Times New Roman"/>
                <w:b/>
                <w:bCs/>
                <w:sz w:val="24"/>
                <w:szCs w:val="24"/>
              </w:rPr>
              <w:t>одпункт 3) п</w:t>
            </w:r>
            <w:r w:rsidRPr="00F81F2E">
              <w:rPr>
                <w:rFonts w:ascii="Times New Roman" w:hAnsi="Times New Roman" w:cs="Times New Roman"/>
                <w:b/>
                <w:bCs/>
                <w:sz w:val="24"/>
                <w:szCs w:val="24"/>
              </w:rPr>
              <w:t>ункт</w:t>
            </w:r>
            <w:r>
              <w:rPr>
                <w:rFonts w:ascii="Times New Roman" w:hAnsi="Times New Roman" w:cs="Times New Roman"/>
                <w:b/>
                <w:bCs/>
                <w:sz w:val="24"/>
                <w:szCs w:val="24"/>
              </w:rPr>
              <w:t xml:space="preserve">а </w:t>
            </w:r>
            <w:r w:rsidRPr="00F81F2E">
              <w:rPr>
                <w:rFonts w:ascii="Times New Roman" w:hAnsi="Times New Roman" w:cs="Times New Roman"/>
                <w:b/>
                <w:bCs/>
                <w:sz w:val="24"/>
                <w:szCs w:val="24"/>
              </w:rPr>
              <w:t>2 Стать</w:t>
            </w:r>
            <w:r>
              <w:rPr>
                <w:rFonts w:ascii="Times New Roman" w:hAnsi="Times New Roman" w:cs="Times New Roman"/>
                <w:b/>
                <w:bCs/>
                <w:sz w:val="24"/>
                <w:szCs w:val="24"/>
              </w:rPr>
              <w:t>и</w:t>
            </w:r>
            <w:r w:rsidRPr="00F81F2E">
              <w:rPr>
                <w:rFonts w:ascii="Times New Roman" w:hAnsi="Times New Roman" w:cs="Times New Roman"/>
                <w:b/>
                <w:bCs/>
                <w:sz w:val="24"/>
                <w:szCs w:val="24"/>
              </w:rPr>
              <w:t xml:space="preserve"> 383. Корректировка размера оборота</w:t>
            </w:r>
          </w:p>
          <w:p w:rsidR="004C0EEA" w:rsidRPr="00F81F2E" w:rsidRDefault="004C0EEA" w:rsidP="000F6365">
            <w:pPr>
              <w:pStyle w:val="a5"/>
              <w:ind w:left="0"/>
              <w:jc w:val="both"/>
              <w:rPr>
                <w:rFonts w:ascii="Times New Roman" w:hAnsi="Times New Roman" w:cs="Times New Roman"/>
                <w:bCs/>
                <w:sz w:val="24"/>
                <w:szCs w:val="24"/>
              </w:rPr>
            </w:pPr>
            <w:r w:rsidRPr="00F81F2E">
              <w:rPr>
                <w:rFonts w:ascii="Times New Roman" w:hAnsi="Times New Roman" w:cs="Times New Roman"/>
                <w:bCs/>
                <w:sz w:val="24"/>
                <w:szCs w:val="24"/>
              </w:rPr>
              <w:t xml:space="preserve">2. корректировка размера оборота производится в случаях </w:t>
            </w:r>
          </w:p>
          <w:p w:rsidR="004C0EEA" w:rsidRPr="00F81F2E" w:rsidRDefault="004C0EEA" w:rsidP="000F6365">
            <w:pPr>
              <w:pStyle w:val="a5"/>
              <w:ind w:left="0"/>
              <w:jc w:val="both"/>
              <w:rPr>
                <w:rFonts w:ascii="Times New Roman" w:hAnsi="Times New Roman" w:cs="Times New Roman"/>
                <w:b/>
                <w:bCs/>
                <w:sz w:val="24"/>
                <w:szCs w:val="24"/>
              </w:rPr>
            </w:pPr>
            <w:r w:rsidRPr="00F81F2E">
              <w:rPr>
                <w:rFonts w:ascii="Times New Roman" w:hAnsi="Times New Roman" w:cs="Times New Roman"/>
                <w:bCs/>
                <w:sz w:val="24"/>
                <w:szCs w:val="24"/>
              </w:rPr>
              <w:t>3) изменения цены, компенсации за реализованные товары, работы, услуги. Положение данного подпункта применяется также при изменении подлежащей оплате стоимости реализованных товаров, работ, услуг исходя из условий договора, в том числе в связи с применением коэффициента (индекса)</w:t>
            </w:r>
            <w:r w:rsidRPr="00F81F2E">
              <w:rPr>
                <w:rFonts w:ascii="Times New Roman" w:hAnsi="Times New Roman" w:cs="Times New Roman"/>
                <w:b/>
                <w:bCs/>
                <w:sz w:val="24"/>
                <w:szCs w:val="24"/>
              </w:rPr>
              <w:t xml:space="preserve"> (за исключением индексации лизинговых платежей согласно пп.5 п.2 статьи 397 настоящего Кодекса).</w:t>
            </w:r>
          </w:p>
        </w:tc>
        <w:tc>
          <w:tcPr>
            <w:tcW w:w="4111" w:type="dxa"/>
          </w:tcPr>
          <w:p w:rsidR="004C0EEA" w:rsidRPr="00AF32E5" w:rsidRDefault="004C0EEA" w:rsidP="000F6365">
            <w:pPr>
              <w:pStyle w:val="a5"/>
              <w:ind w:left="0"/>
              <w:jc w:val="both"/>
              <w:rPr>
                <w:rFonts w:ascii="Times New Roman" w:hAnsi="Times New Roman"/>
                <w:bCs/>
                <w:sz w:val="24"/>
                <w:szCs w:val="24"/>
              </w:rPr>
            </w:pPr>
            <w:r>
              <w:rPr>
                <w:rFonts w:ascii="Times New Roman" w:hAnsi="Times New Roman"/>
                <w:bCs/>
                <w:sz w:val="24"/>
                <w:szCs w:val="24"/>
              </w:rPr>
              <w:t xml:space="preserve">Применение данной нормы противоречит пункту 3 статьи 196 действующего Налогового Кодекса и ранее принятой практике по учету  </w:t>
            </w:r>
            <w:r w:rsidRPr="007C6EE8">
              <w:rPr>
                <w:rFonts w:ascii="Times New Roman" w:hAnsi="Times New Roman" w:cs="Times New Roman"/>
                <w:color w:val="000000"/>
                <w:sz w:val="24"/>
                <w:szCs w:val="24"/>
              </w:rPr>
              <w:t>операции с</w:t>
            </w:r>
            <w:r>
              <w:rPr>
                <w:rFonts w:ascii="Times New Roman" w:hAnsi="Times New Roman" w:cs="Times New Roman"/>
                <w:color w:val="000000"/>
                <w:sz w:val="24"/>
                <w:szCs w:val="24"/>
              </w:rPr>
              <w:t>о встроенными</w:t>
            </w:r>
            <w:r w:rsidRPr="007C6EE8">
              <w:rPr>
                <w:rFonts w:ascii="Times New Roman" w:hAnsi="Times New Roman" w:cs="Times New Roman"/>
                <w:color w:val="000000"/>
                <w:sz w:val="24"/>
                <w:szCs w:val="24"/>
              </w:rPr>
              <w:t xml:space="preserve"> производными финансовыми инструментами</w:t>
            </w:r>
            <w:r>
              <w:rPr>
                <w:rFonts w:ascii="Times New Roman" w:hAnsi="Times New Roman" w:cs="Times New Roman"/>
                <w:color w:val="000000"/>
                <w:sz w:val="24"/>
                <w:szCs w:val="24"/>
              </w:rPr>
              <w:t xml:space="preserve"> в виде индексации лизинговых платежей.</w:t>
            </w:r>
          </w:p>
          <w:p w:rsidR="004C0EEA" w:rsidRPr="00F81F2E" w:rsidRDefault="004C0EEA" w:rsidP="000F6365">
            <w:pPr>
              <w:jc w:val="both"/>
              <w:rPr>
                <w:rFonts w:ascii="Times New Roman" w:hAnsi="Times New Roman" w:cs="Times New Roman"/>
                <w:sz w:val="24"/>
                <w:szCs w:val="24"/>
              </w:rPr>
            </w:pPr>
            <w:r w:rsidRPr="00F81F2E">
              <w:rPr>
                <w:rFonts w:ascii="Times New Roman" w:hAnsi="Times New Roman" w:cs="Times New Roman"/>
                <w:sz w:val="24"/>
                <w:szCs w:val="24"/>
              </w:rPr>
              <w:t xml:space="preserve">Согласно пункту 3  Статьи 196 стоимостью, по которой передан (получен) предмет лизинга, является стоимость предмета лизинга, определяемая на основании договора лизинга. Таким образом, стоимость предмета лизинга фиксируется договором лизинга. Согласно внесенным изменениям (буквально читая указанную статью) лизингодатели (применяющие индексацию) должны ежемесячно менять стоимость предмета лизинга на сумму индексации основного долга, тогда как стоимость предмета </w:t>
            </w:r>
            <w:r w:rsidRPr="00F81F2E">
              <w:rPr>
                <w:rFonts w:ascii="Times New Roman" w:hAnsi="Times New Roman" w:cs="Times New Roman"/>
                <w:sz w:val="24"/>
                <w:szCs w:val="24"/>
              </w:rPr>
              <w:lastRenderedPageBreak/>
              <w:t xml:space="preserve">лизинга фиксируется договором финансового лизинга. Более того в соответствии с указанной статьей лизингодателям ежемесячно на сумму индексации основного долга (помимо ежемесячных счетов-фактур на сумму основного долга согласно суммам по графику) и ежеквартально на сумму индексации вознаграждения выписывать дополнительные счета-фактуры на сумму индексации. </w:t>
            </w:r>
          </w:p>
          <w:p w:rsidR="004C0EEA" w:rsidRPr="00F81F2E" w:rsidRDefault="004C0EEA" w:rsidP="000F6365">
            <w:pPr>
              <w:jc w:val="both"/>
              <w:rPr>
                <w:rFonts w:ascii="Times New Roman" w:hAnsi="Times New Roman" w:cs="Times New Roman"/>
                <w:sz w:val="24"/>
                <w:szCs w:val="24"/>
              </w:rPr>
            </w:pPr>
            <w:r w:rsidRPr="00F81F2E">
              <w:rPr>
                <w:rFonts w:ascii="Times New Roman" w:hAnsi="Times New Roman" w:cs="Times New Roman"/>
                <w:sz w:val="24"/>
                <w:szCs w:val="24"/>
              </w:rPr>
              <w:t>До вступления в силу нового Налогового Кодекса индексация лизинговых платежей учитывалась как встроенный производный финансовый инструмент, и учитывалась отдельно, не влияя на стоимость предмета лизинга и являлась необлагаемым оборотом по НДС.</w:t>
            </w:r>
          </w:p>
          <w:p w:rsidR="004C0EEA" w:rsidRPr="00F81F2E" w:rsidRDefault="004C0EEA" w:rsidP="000F6365">
            <w:pPr>
              <w:jc w:val="both"/>
              <w:rPr>
                <w:rFonts w:ascii="Times New Roman" w:hAnsi="Times New Roman" w:cs="Times New Roman"/>
                <w:sz w:val="24"/>
                <w:szCs w:val="24"/>
              </w:rPr>
            </w:pPr>
          </w:p>
          <w:p w:rsidR="004C0EEA" w:rsidRPr="00F81F2E" w:rsidRDefault="004C0EEA" w:rsidP="000F6365">
            <w:pPr>
              <w:jc w:val="both"/>
              <w:rPr>
                <w:rFonts w:ascii="Times New Roman" w:hAnsi="Times New Roman" w:cs="Times New Roman"/>
                <w:b/>
                <w:sz w:val="24"/>
                <w:szCs w:val="24"/>
              </w:rPr>
            </w:pPr>
            <w:r w:rsidRPr="00F81F2E">
              <w:rPr>
                <w:rFonts w:ascii="Times New Roman" w:hAnsi="Times New Roman" w:cs="Times New Roman"/>
                <w:b/>
                <w:sz w:val="24"/>
                <w:szCs w:val="24"/>
              </w:rPr>
              <w:t>Учитывая изложенное, предлагаем оставить прежний порядок признания индексации лизинговых платежей в качестве встроенного производного финансового инструмента.</w:t>
            </w:r>
          </w:p>
        </w:tc>
        <w:tc>
          <w:tcPr>
            <w:tcW w:w="2693" w:type="dxa"/>
          </w:tcPr>
          <w:p w:rsidR="004C0EEA" w:rsidRDefault="004C0EEA" w:rsidP="000F6365">
            <w:pPr>
              <w:pStyle w:val="a5"/>
              <w:ind w:left="0"/>
              <w:jc w:val="both"/>
              <w:rPr>
                <w:rFonts w:ascii="Times New Roman" w:hAnsi="Times New Roman"/>
                <w:bCs/>
                <w:sz w:val="24"/>
                <w:szCs w:val="24"/>
              </w:rPr>
            </w:pPr>
            <w:r w:rsidRPr="00124EE6">
              <w:rPr>
                <w:rFonts w:ascii="Times New Roman" w:eastAsia="Times New Roman" w:hAnsi="Times New Roman" w:cs="Times New Roman"/>
                <w:b/>
                <w:color w:val="000000"/>
                <w:sz w:val="24"/>
                <w:szCs w:val="24"/>
                <w:lang w:eastAsia="ru-RU"/>
              </w:rPr>
              <w:lastRenderedPageBreak/>
              <w:t>АО БРК-Лизинг ДО АО Банк Развития Казахстана</w:t>
            </w:r>
          </w:p>
        </w:tc>
      </w:tr>
    </w:tbl>
    <w:p w:rsidR="00DE0211" w:rsidRPr="00DE0211" w:rsidRDefault="00DE0211" w:rsidP="00DE0211">
      <w:pPr>
        <w:jc w:val="right"/>
        <w:rPr>
          <w:rFonts w:ascii="Times New Roman" w:hAnsi="Times New Roman" w:cs="Times New Roman"/>
          <w:sz w:val="28"/>
          <w:szCs w:val="28"/>
        </w:rPr>
      </w:pPr>
    </w:p>
    <w:sectPr w:rsidR="00DE0211" w:rsidRPr="00DE0211" w:rsidSect="00DE0211">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8C3"/>
    <w:multiLevelType w:val="hybridMultilevel"/>
    <w:tmpl w:val="E10892B8"/>
    <w:lvl w:ilvl="0" w:tplc="01F213C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B86F41"/>
    <w:multiLevelType w:val="hybridMultilevel"/>
    <w:tmpl w:val="ACC0F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366D0D"/>
    <w:multiLevelType w:val="hybridMultilevel"/>
    <w:tmpl w:val="AB50B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6E"/>
    <w:rsid w:val="00023467"/>
    <w:rsid w:val="000F6365"/>
    <w:rsid w:val="001776A8"/>
    <w:rsid w:val="00223F2C"/>
    <w:rsid w:val="00242C02"/>
    <w:rsid w:val="002501D6"/>
    <w:rsid w:val="002C70A9"/>
    <w:rsid w:val="002E2B24"/>
    <w:rsid w:val="0031291F"/>
    <w:rsid w:val="003C6508"/>
    <w:rsid w:val="003F2054"/>
    <w:rsid w:val="003F3D0C"/>
    <w:rsid w:val="00443632"/>
    <w:rsid w:val="00452BD0"/>
    <w:rsid w:val="004A684D"/>
    <w:rsid w:val="004C0EEA"/>
    <w:rsid w:val="005C0B7E"/>
    <w:rsid w:val="005D6CE0"/>
    <w:rsid w:val="00614395"/>
    <w:rsid w:val="00661576"/>
    <w:rsid w:val="006D29BC"/>
    <w:rsid w:val="007131A4"/>
    <w:rsid w:val="00764ECA"/>
    <w:rsid w:val="00922F6E"/>
    <w:rsid w:val="009A3CC4"/>
    <w:rsid w:val="00BA2C01"/>
    <w:rsid w:val="00C66A4D"/>
    <w:rsid w:val="00CA77A9"/>
    <w:rsid w:val="00DE0211"/>
    <w:rsid w:val="00EB11EC"/>
    <w:rsid w:val="00F81F2E"/>
    <w:rsid w:val="00FD5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E0211"/>
    <w:rPr>
      <w:color w:val="0000FF"/>
      <w:u w:val="single"/>
    </w:rPr>
  </w:style>
  <w:style w:type="paragraph" w:styleId="a5">
    <w:name w:val="List Paragraph"/>
    <w:basedOn w:val="a"/>
    <w:link w:val="a6"/>
    <w:uiPriority w:val="34"/>
    <w:qFormat/>
    <w:rsid w:val="00DE0211"/>
    <w:pPr>
      <w:ind w:left="720"/>
      <w:contextualSpacing/>
    </w:pPr>
  </w:style>
  <w:style w:type="paragraph" w:customStyle="1" w:styleId="1">
    <w:name w:val="1 Знак Знак Знак Знак Знак Знак Знак Знак Знак Знак Знак Знак Знак"/>
    <w:basedOn w:val="a"/>
    <w:autoRedefine/>
    <w:rsid w:val="002C70A9"/>
    <w:pPr>
      <w:spacing w:line="240" w:lineRule="exact"/>
    </w:pPr>
    <w:rPr>
      <w:rFonts w:ascii="Times New Roman" w:eastAsia="SimSun" w:hAnsi="Times New Roman" w:cs="Times New Roman"/>
      <w:b/>
      <w:sz w:val="28"/>
      <w:szCs w:val="24"/>
      <w:lang w:val="en-US"/>
    </w:rPr>
  </w:style>
  <w:style w:type="character" w:customStyle="1" w:styleId="a6">
    <w:name w:val="Абзац списка Знак"/>
    <w:link w:val="a5"/>
    <w:uiPriority w:val="34"/>
    <w:locked/>
    <w:rsid w:val="002C70A9"/>
  </w:style>
  <w:style w:type="paragraph" w:styleId="a7">
    <w:name w:val="Balloon Text"/>
    <w:basedOn w:val="a"/>
    <w:link w:val="a8"/>
    <w:uiPriority w:val="99"/>
    <w:semiHidden/>
    <w:unhideWhenUsed/>
    <w:rsid w:val="005D6C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6CE0"/>
    <w:rPr>
      <w:rFonts w:ascii="Segoe UI" w:hAnsi="Segoe UI" w:cs="Segoe UI"/>
      <w:sz w:val="18"/>
      <w:szCs w:val="18"/>
    </w:rPr>
  </w:style>
  <w:style w:type="character" w:customStyle="1" w:styleId="s1">
    <w:name w:val="s1"/>
    <w:rsid w:val="00764ECA"/>
    <w:rPr>
      <w:rFonts w:ascii="Times New Roman" w:hAnsi="Times New Roman" w:cs="Times New Roman" w:hint="default"/>
      <w:b/>
      <w:bCs/>
      <w:color w:val="000000"/>
    </w:rPr>
  </w:style>
  <w:style w:type="character" w:customStyle="1" w:styleId="s2">
    <w:name w:val="s2"/>
    <w:rsid w:val="00764ECA"/>
    <w:rPr>
      <w:rFonts w:ascii="Times New Roman" w:hAnsi="Times New Roman" w:cs="Times New Roman" w:hint="default"/>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DE0211"/>
    <w:rPr>
      <w:color w:val="0000FF"/>
      <w:u w:val="single"/>
    </w:rPr>
  </w:style>
  <w:style w:type="paragraph" w:styleId="a5">
    <w:name w:val="List Paragraph"/>
    <w:basedOn w:val="a"/>
    <w:link w:val="a6"/>
    <w:uiPriority w:val="34"/>
    <w:qFormat/>
    <w:rsid w:val="00DE0211"/>
    <w:pPr>
      <w:ind w:left="720"/>
      <w:contextualSpacing/>
    </w:pPr>
  </w:style>
  <w:style w:type="paragraph" w:customStyle="1" w:styleId="1">
    <w:name w:val="1 Знак Знак Знак Знак Знак Знак Знак Знак Знак Знак Знак Знак Знак"/>
    <w:basedOn w:val="a"/>
    <w:autoRedefine/>
    <w:rsid w:val="002C70A9"/>
    <w:pPr>
      <w:spacing w:line="240" w:lineRule="exact"/>
    </w:pPr>
    <w:rPr>
      <w:rFonts w:ascii="Times New Roman" w:eastAsia="SimSun" w:hAnsi="Times New Roman" w:cs="Times New Roman"/>
      <w:b/>
      <w:sz w:val="28"/>
      <w:szCs w:val="24"/>
      <w:lang w:val="en-US"/>
    </w:rPr>
  </w:style>
  <w:style w:type="character" w:customStyle="1" w:styleId="a6">
    <w:name w:val="Абзац списка Знак"/>
    <w:link w:val="a5"/>
    <w:uiPriority w:val="34"/>
    <w:locked/>
    <w:rsid w:val="002C70A9"/>
  </w:style>
  <w:style w:type="paragraph" w:styleId="a7">
    <w:name w:val="Balloon Text"/>
    <w:basedOn w:val="a"/>
    <w:link w:val="a8"/>
    <w:uiPriority w:val="99"/>
    <w:semiHidden/>
    <w:unhideWhenUsed/>
    <w:rsid w:val="005D6CE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D6CE0"/>
    <w:rPr>
      <w:rFonts w:ascii="Segoe UI" w:hAnsi="Segoe UI" w:cs="Segoe UI"/>
      <w:sz w:val="18"/>
      <w:szCs w:val="18"/>
    </w:rPr>
  </w:style>
  <w:style w:type="character" w:customStyle="1" w:styleId="s1">
    <w:name w:val="s1"/>
    <w:rsid w:val="00764ECA"/>
    <w:rPr>
      <w:rFonts w:ascii="Times New Roman" w:hAnsi="Times New Roman" w:cs="Times New Roman" w:hint="default"/>
      <w:b/>
      <w:bCs/>
      <w:color w:val="000000"/>
    </w:rPr>
  </w:style>
  <w:style w:type="character" w:customStyle="1" w:styleId="s2">
    <w:name w:val="s2"/>
    <w:rsid w:val="00764ECA"/>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6148637.24100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jl:31026893.0.1002000543_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l:31026893.0.1002000543_0" TargetMode="External"/><Relationship Id="rId5" Type="http://schemas.openxmlformats.org/officeDocument/2006/relationships/settings" Target="settings.xml"/><Relationship Id="rId10" Type="http://schemas.openxmlformats.org/officeDocument/2006/relationships/hyperlink" Target="jl:31026893.0.1002000543_0" TargetMode="External"/><Relationship Id="rId4" Type="http://schemas.microsoft.com/office/2007/relationships/stylesWithEffects" Target="stylesWithEffects.xml"/><Relationship Id="rId9" Type="http://schemas.openxmlformats.org/officeDocument/2006/relationships/hyperlink" Target="jl:36148637.24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EF405-5AE1-43A9-A55C-252506BF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Мусафирова Шолпан Багитжановна</cp:lastModifiedBy>
  <cp:revision>2</cp:revision>
  <cp:lastPrinted>2018-08-16T12:33:00Z</cp:lastPrinted>
  <dcterms:created xsi:type="dcterms:W3CDTF">2019-02-20T04:28:00Z</dcterms:created>
  <dcterms:modified xsi:type="dcterms:W3CDTF">2019-02-20T04:28:00Z</dcterms:modified>
</cp:coreProperties>
</file>