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A1" w:rsidRDefault="009549A1" w:rsidP="007C5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4AEB">
        <w:rPr>
          <w:rFonts w:ascii="Times New Roman" w:hAnsi="Times New Roman" w:cs="Times New Roman"/>
          <w:sz w:val="28"/>
          <w:szCs w:val="28"/>
        </w:rPr>
        <w:t>РАЗДЕЛ 11. АКЦИЗЫ</w:t>
      </w:r>
    </w:p>
    <w:p w:rsidR="002A76AC" w:rsidRPr="00C047F4" w:rsidRDefault="002A76AC" w:rsidP="007C53B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2829" w:rsidRDefault="00F72829" w:rsidP="007C53B8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829" w:rsidRPr="00E148ED" w:rsidRDefault="00F72829" w:rsidP="007C53B8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F72829" w:rsidRPr="00E148ED" w:rsidRDefault="00F72829" w:rsidP="007C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 xml:space="preserve">предложений в Кодекс Республики Казахстан «О налогах и других обязательных платежах в бюджет» </w:t>
      </w:r>
    </w:p>
    <w:p w:rsidR="00F72829" w:rsidRPr="00E148ED" w:rsidRDefault="00F72829" w:rsidP="007C5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>и другие законодательные акты</w:t>
      </w:r>
    </w:p>
    <w:p w:rsidR="00F72829" w:rsidRPr="00E148ED" w:rsidRDefault="00F72829" w:rsidP="007C53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63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4252"/>
        <w:gridCol w:w="4679"/>
        <w:gridCol w:w="4536"/>
        <w:gridCol w:w="1275"/>
      </w:tblGrid>
      <w:tr w:rsidR="00F72829" w:rsidRPr="00E148ED" w:rsidTr="00F72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F72829" w:rsidRDefault="00F72829" w:rsidP="007C5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F72829" w:rsidRDefault="00F72829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Структурный элемент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E148ED" w:rsidRDefault="00F72829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E148ED" w:rsidRDefault="00F72829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E148ED" w:rsidRDefault="00F72829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  <w:p w:rsidR="00F72829" w:rsidRPr="00E148ED" w:rsidRDefault="00F72829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29" w:rsidRPr="00E148ED" w:rsidRDefault="00F72829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9549A1" w:rsidRPr="007C53A9" w:rsidTr="00C74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F72829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Пункты 2, 2-1, 2-2 и 2-3 статьи 464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464. Объект налогообложения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Порча,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утрата акцизных марок, учетно-контрольных марок рассматривается как реализация подакцизных товаров.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2-1. Отсутствует.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2-2. Отсутствует.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2-3. Отсутствует.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464. Объект налогообложения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2. Утрата акцизных марок, учетно-контрольных марок рассматривается как реализация подакцизных товаров.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2-1. Порча акцизных марок, учетно-контрольных марок рассматривается как реализация подакцизных товаров только в случае не принятия акцизных марок, учетно-контрольных марок органами государственных доходов к уничтожению. В этом случае акциз уплачивается в размере заявленного ассортимента.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2-2. В случае принятия испорченных акцизных марок, учетно-контрольных марок органами государственных доходов к уничтожению на основании акта списания к уничтожению, порча акцизных марок, учетно-контрольных марок не рассматривается как реализация подакцизных товаров.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2-3. Ежемесячно на основании заявления налогоплательщика органы государственных доходов обязаны принимать испорченные акцизные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марки, учтено-контрольные марки к уничтожению на основании акта списания к уничтожению, либо предоставлять налогоплательщику мотивированный отказ в принятии испорченных акцизных марок, учетно-контрольных марок к уничтожению.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установить критерии для отнесения акцизных марок к категориям «Порча» и «Утрата», т.к. в действующем законодательстве такие критерии не установлены. Ранее критерии были установлены в Правилах, которые утратили силу.</w:t>
            </w:r>
            <w:r w:rsidRPr="00E148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Акцизом не должны облагаться испорченные марки, т.к. они не будут использоваться при производстве продукта, и потенциально будут приняты органами государственных доходов к уничтожению, в соответствии с п. 3 ст. 469.</w:t>
            </w:r>
          </w:p>
        </w:tc>
        <w:tc>
          <w:tcPr>
            <w:tcW w:w="1275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Филипп Моррис</w:t>
            </w:r>
          </w:p>
        </w:tc>
      </w:tr>
      <w:tr w:rsidR="009549A1" w:rsidRPr="007C53A9" w:rsidTr="00A20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F72829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6 статьи 465.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465. Дата совершения операции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pStyle w:val="a4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В случае порчи подакцизных товаров,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акцизных марок, учетно-контрольных марок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датой совершения операции является день составления акта о списании испорченных подакцизных товаров,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акцизных марок, учетно-контрольных марок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день принятия решения об их дальнейшем использовании в производственном процессе.</w:t>
            </w:r>
            <w:bookmarkStart w:id="0" w:name="z3311"/>
            <w:bookmarkEnd w:id="0"/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утраты подакцизных товаров, акцизных марок, учетно-контрольных марок датой совершения операции является день, когда произошла утрата подакцизных товаров, акцизных марок, учетно-контрольных марок.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465. Дата совершения операции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tabs>
                <w:tab w:val="left" w:pos="460"/>
              </w:tabs>
              <w:spacing w:after="0" w:line="240" w:lineRule="auto"/>
              <w:jc w:val="both"/>
              <w:rPr>
                <w:rStyle w:val="s0"/>
              </w:rPr>
            </w:pPr>
            <w:r w:rsidRPr="00E148ED">
              <w:rPr>
                <w:rStyle w:val="s0"/>
              </w:rPr>
              <w:t xml:space="preserve">6. В случае порчи подакцизных товаров,  датой совершения операции является день составления акта о 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списании испорченных подакцизных товаров или день принятия решения об их дальнейшем использовании в производственном процессе</w:t>
            </w:r>
          </w:p>
          <w:p w:rsidR="009549A1" w:rsidRPr="00E148ED" w:rsidRDefault="009549A1" w:rsidP="007C53B8">
            <w:pPr>
              <w:pStyle w:val="a4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Style w:val="s0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 порчи акцизных марок, учетно-контрольных марок датой совершения операции является день составления акта о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8ED">
              <w:rPr>
                <w:rStyle w:val="s0"/>
                <w:b/>
              </w:rPr>
              <w:t>непринятии подакцизных товаров, акцизных марок, учетно-контрольных марок органами государственных доходов к уничтожению</w:t>
            </w:r>
            <w:r w:rsidRPr="00E148ED">
              <w:rPr>
                <w:rStyle w:val="s0"/>
              </w:rPr>
              <w:t>.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Style w:val="s0"/>
              </w:rPr>
              <w:t>В случае утраты подакцизных товаров, акцизных марок, учетно-контрольных марок датой совершения операции является день, когда произошла утрата подакцизных товаров, акцизных марок, учетно-контрольных марок.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pStyle w:val="a4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Style w:val="s0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Акцизом не должны облагаться испорченные марки до того момента, когда органы государственных доходов </w:t>
            </w:r>
            <w:r w:rsidRPr="00E148ED">
              <w:rPr>
                <w:rStyle w:val="s0"/>
              </w:rPr>
              <w:t>откажутся принимать испорченные марки к уничтожению.</w:t>
            </w:r>
          </w:p>
          <w:p w:rsidR="009549A1" w:rsidRPr="00E148ED" w:rsidRDefault="009549A1" w:rsidP="007C53B8">
            <w:pPr>
              <w:pStyle w:val="a4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Style w:val="s0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марки не будут использоваться при производстве продукта, и потенциально будут приняты органами государственных доходов к уничтожению, в соответствии с п. 3 ст. 469</w:t>
            </w:r>
          </w:p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Филипп Моррис</w:t>
            </w:r>
          </w:p>
        </w:tc>
      </w:tr>
      <w:tr w:rsidR="009549A1" w:rsidRPr="007C53A9" w:rsidTr="00A20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F72829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468.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468. Порча, утрата подакцизных товаров</w:t>
            </w:r>
          </w:p>
          <w:p w:rsidR="009549A1" w:rsidRPr="00E148ED" w:rsidRDefault="009549A1" w:rsidP="007C53B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29" w:firstLine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порче,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утрате произведенных на территории Республики Казахстан и импортируемых на территорию 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Республики Казахстан с территории государств-членов Евразийского экономического союза подакцизных товаров акциз уплачивается в полном размере, за исключением случаев, возникших в результате чрезвычайных ситуаций.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положение применяется также в случае порчи, утраты бензина (за исключением авиационного), дизельного топлива, приобретенных для дальнейшей реализации.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2. Для целей настоящей статьи: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под порчей подакцизного товара понимается ухудшение всех или отдельных качеств (свойств) товара, в том числе на всех технологических стадиях его производства;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2) под утратой подакцизного товара понимается событие, в результате которого произошли уничтожение или потеря товара, в том числе на всех технологических стадиях его производства.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Не являются утратой потеря подакцизных товаров, понесенная налогоплательщиком в пределах норм естественной убыли, установленных законодательством Республики Казахстан, а также потери в пределах норм, регламентируемых производителем нормативной и технической документацией производителя.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Статья 468. </w:t>
            </w:r>
            <w:r w:rsidRPr="00E148ED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Порча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утрата подакцизных товаров</w:t>
            </w:r>
          </w:p>
          <w:p w:rsidR="009549A1" w:rsidRPr="00E148ED" w:rsidRDefault="009549A1" w:rsidP="007C53B8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9" w:firstLine="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утрате произведенных на территории Республики Казахстан и импортируемых на территорию Республики Казахстан с территории 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государств-членов Таможенного союза подакцизных товаров акциз уплачивается в полном размере, за исключением случаев, возникших в результате чрезвычайных ситуаций.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положение применяется также в случае порчи, утраты бензина (за исключением авиационного), дизельного топлива, приобретенных для дальнейшей реализации.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2.Для целей настоящей статьи: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исключить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2) под утратой подакцизного товара понимается событие, в результате которого произошли уничтожение или потеря товара, в том числе на всех технологических стадиях его производства.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Не являются утратой потеря подакцизных товаров, понесенная налогоплательщиком в пределах норм естественной убыли, установленных законодательством Республики Казахстан, а также потери в пределах норм, регламентируемых производителем нормативной и технической документацией.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с целью исключения порчи подакцизных товаров из налогооблагаемой базы. Акциз не должен применяться, так как испорченный товар не реализуется потребителю, и в основном идет на переработку. В свою </w:t>
            </w: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 товар, произведенный в том числе из испорченного продукта, облагается акцизом. Данное изменение позволит избежать двойного налогообложения одного и того же товара.</w:t>
            </w:r>
          </w:p>
        </w:tc>
        <w:tc>
          <w:tcPr>
            <w:tcW w:w="1275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Филипп Моррис</w:t>
            </w:r>
          </w:p>
        </w:tc>
      </w:tr>
      <w:tr w:rsidR="009549A1" w:rsidRPr="007C53A9" w:rsidTr="00C1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F72829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Пункт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статьи 471.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Статья 471. Подтверждение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 Документами, подтверждающими экспорт подакцизных товаров, являются: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1) договор (контракт) на поставку экспортируемых подакцизных товаров;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2) декларация на товары или ее копия, заверенная таможенным органом, с отметкой таможенного органа, осуществившего выпуск подакцизных товаров в таможенной процедуре экспорта.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вывоза подакцизных товаров в таможенной процедуре экспорта по системе магистральных трубопроводов либо с применением процедуры неполного периодического декларирования подтверждением экспорта служит полная декларация на товары с отметкой таможенного органа, производившего таможенное декларирование;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3) копии товаросопроводительных документов с отметкой таможенного органа, расположенного в пункте пропуска на таможенной границе Евразийского экономического союза.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вывоза подакцизных товаров в таможенной процедуре экспорта по системе магистральных трубопроводов вместо копий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товаросопроводительных документов представляется акт приема-сдачи товаров;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4) платежные документы и выписка банка, которые подтверждают фактическое поступление выручки от реализации подакцизных товаров на банковские счета налогоплательщика в Республике Казахстан, открытые в соответствии с законодательством Республики Казахстан.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Статья 471. Подтверждение экспорта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1. Документами, подтверждающими экспорт подакцизных товаров являются документы, указанные в статье 386 настоящего Кодекса.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 экспорта товаров фиксируется в </w:t>
            </w: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базах данных органов гос. доходов, что является достаточным подтверждением экспорта. Устранение данного требования облегчит процесс администрирования для экспортеров.</w:t>
            </w:r>
          </w:p>
        </w:tc>
        <w:tc>
          <w:tcPr>
            <w:tcW w:w="1275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Филипп </w:t>
            </w: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Моррис</w:t>
            </w:r>
          </w:p>
        </w:tc>
      </w:tr>
      <w:tr w:rsidR="009549A1" w:rsidRPr="007C53A9" w:rsidTr="00640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F72829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2 статьи 471.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2. При экспорте подакцизных товаров в государства-участники Содружества Независимых Государств (за исключением государств-членов Евразийского экономического союза), с которыми Республикой Казахстан заключены международные договоры, предусматривающие освобождение от акциза экспорта подакцизных товаров, дополнительно представляется декларации на товары, оформленной в стране импорта подакцизных товаров, вывезенных с таможенной территории Республики Казахстан, в таможенной процедуре экспорта.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Исключить.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Факт экспорта товаров фиксируется в электронных базах данных органов гос. доходов, что является достаточным подтверждением экспорта. Устранение данного требования облегчит процесс администрирования для экспортеров.</w:t>
            </w:r>
          </w:p>
        </w:tc>
        <w:tc>
          <w:tcPr>
            <w:tcW w:w="1275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Филипп Моррис</w:t>
            </w:r>
          </w:p>
        </w:tc>
      </w:tr>
      <w:tr w:rsidR="009549A1" w:rsidRPr="007C53A9" w:rsidTr="00640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F72829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3 статьи 471.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При экспорте подакцизных товаров на территорию государства-члена Евразийского экономического союза для подтверждения обоснованности освобождения от 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уплаты акцизов в соответствии с пунктом 3 статьи 464 настоящего Кодекса налогоплательщик представляет в налоговый орган по месту нахождения одновременно с декларацией по акцизу документы, предусмотренные статьей 447 настоящего Кодекса, за исключением документов, указанных в подпункте 4) пункта 1 статьи 447 настоящего Кодекса. При этом налогоплательщик вправе представить указанные документы, за исключением декларации по акцизу, в налоговый орган в течение ста восьмидесяти календарных дней с даты совершения операции.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Для подтверждения обоснованности освобождения от уплаты акцизов документами, подтверждающими экспорт подакцизных товаров на территорию государства-члена Евразийского </w:t>
            </w: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экономического союза являются документы, предусмотренные статьей 447 настоящего Кодекса, за исключением документов, указанных в подпункте 4) пункта 1 статьи 447 настоящего Кодекса.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экспорта товаров фиксируется в электронных базах данных органов государственных доходов, что является достаточным подтверждением экспорта. Устранение данного требования облегчит процесс администрирования для экспортеров.</w:t>
            </w:r>
          </w:p>
        </w:tc>
        <w:tc>
          <w:tcPr>
            <w:tcW w:w="1275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Филипп Моррис</w:t>
            </w:r>
          </w:p>
        </w:tc>
      </w:tr>
      <w:tr w:rsidR="009549A1" w:rsidRPr="007C53A9" w:rsidTr="007F4A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F72829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4 статьи 471.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Декларация на товары в виде электронного документа, по которой в информационных системах налоговых органов имеется уведомление таможенных органов о фактическом вывозе товаров, также является документом, подтверждающим экспорт подакцизных товаров. 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наличии декларации на товары в виде электронного документа, предусмотренной настоящим пунктом, представление документов, установленных подпунктом 2) пункта 1 настоящей статьи, не требуется.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Декларация на товары в виде электронного документа, по которой в информационных системах налоговых органов имеется уведомление таможенных органов о фактическом вывозе товаров, также является документом, подтверждающим экспорт подакцизных товаров.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При удалении требования о предоставлении документов для подтверждения экспорта, данное положение не актуально.</w:t>
            </w:r>
          </w:p>
        </w:tc>
        <w:tc>
          <w:tcPr>
            <w:tcW w:w="1275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Филипп Моррис</w:t>
            </w:r>
          </w:p>
        </w:tc>
      </w:tr>
      <w:tr w:rsidR="009549A1" w:rsidRPr="00A8482C" w:rsidTr="007F4A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F72829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5 Статьи 471.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5. В случае неподтверждения реализации подакцизных товаров на экспорт в соответствии с пунктами 1, 2 и 3 настоящей статьи такая реализация подлежит обложению акцизом в порядке, определенном настоящим разделом для реализации подакцизных товаров на территории Республики Казахстан.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Исключить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При удалении требования о предоставлении документов для подтверждения экспорта, данное положение не актуально.</w:t>
            </w:r>
          </w:p>
        </w:tc>
        <w:tc>
          <w:tcPr>
            <w:tcW w:w="1275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Филипп Моррис</w:t>
            </w:r>
          </w:p>
        </w:tc>
      </w:tr>
      <w:tr w:rsidR="009549A1" w:rsidRPr="00A8482C" w:rsidTr="007F4A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6 Статьи 471.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6. В случае подтверждения реализации подакцизных товаров на экспорт по истечении сроков, установленных пунктом 3 настоящей статьи, уплаченные в соответствии с пунктом 5 настоящей статьи суммы акцизов подлежат зачету и возврату в соответствии со статьями 101 и 102 настоящего Кодекса.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При этом уплаченная сумма пени, начисленная в связи с неподтверждением реализации подакцизных товаров на экспорт на территорию государства-члена Евразийского экономического союза, возврату не подлежит.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471. Подтверждение экспорта подакцизных товаров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ind w:firstLine="42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 Исключить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При удалении требования о предоставлении документов для подтверждения экспорта, данное положение не актуально.</w:t>
            </w:r>
          </w:p>
        </w:tc>
        <w:tc>
          <w:tcPr>
            <w:tcW w:w="1275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Филипп Моррис</w:t>
            </w:r>
          </w:p>
        </w:tc>
      </w:tr>
      <w:tr w:rsidR="009549A1" w:rsidRPr="00A8482C" w:rsidTr="0011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549A1" w:rsidRPr="00BF055A" w:rsidRDefault="009549A1" w:rsidP="007C53B8">
            <w:pPr>
              <w:spacing w:after="0" w:line="240" w:lineRule="auto"/>
              <w:rPr>
                <w:rStyle w:val="s0"/>
              </w:rPr>
            </w:pPr>
            <w:r w:rsidRPr="00BF055A">
              <w:rPr>
                <w:rStyle w:val="s0"/>
                <w:bCs/>
              </w:rPr>
              <w:t xml:space="preserve">Статья 473. </w:t>
            </w:r>
          </w:p>
          <w:p w:rsidR="009549A1" w:rsidRPr="00BF055A" w:rsidRDefault="009549A1" w:rsidP="007C53B8">
            <w:pPr>
              <w:spacing w:after="0" w:line="240" w:lineRule="auto"/>
              <w:ind w:firstLine="400"/>
              <w:jc w:val="both"/>
              <w:rPr>
                <w:rStyle w:val="s0"/>
                <w:b/>
                <w:bCs/>
              </w:rPr>
            </w:pPr>
          </w:p>
        </w:tc>
        <w:tc>
          <w:tcPr>
            <w:tcW w:w="4252" w:type="dxa"/>
          </w:tcPr>
          <w:p w:rsidR="009549A1" w:rsidRPr="009549A1" w:rsidRDefault="009549A1" w:rsidP="007C53B8">
            <w:pPr>
              <w:spacing w:after="0" w:line="240" w:lineRule="auto"/>
              <w:rPr>
                <w:rStyle w:val="s0"/>
                <w:b/>
              </w:rPr>
            </w:pPr>
            <w:r w:rsidRPr="009549A1">
              <w:rPr>
                <w:rStyle w:val="s0"/>
                <w:b/>
                <w:bCs/>
              </w:rPr>
              <w:t>Статья 473. Корректировка налоговой базы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r w:rsidRPr="00BF055A">
              <w:rPr>
                <w:sz w:val="24"/>
                <w:szCs w:val="24"/>
              </w:rPr>
              <w:t xml:space="preserve">2. Налоговая база по подакцизному товару, указанному в </w:t>
            </w:r>
            <w:hyperlink r:id="rId8" w:history="1">
              <w:bookmarkStart w:id="1" w:name="sub1006075792"/>
              <w:r w:rsidRPr="00BF055A">
                <w:rPr>
                  <w:rStyle w:val="aa"/>
                  <w:sz w:val="24"/>
                  <w:szCs w:val="24"/>
                </w:rPr>
                <w:t xml:space="preserve">подпункте 3) </w:t>
              </w:r>
              <w:r w:rsidRPr="00BF055A">
                <w:rPr>
                  <w:rStyle w:val="aa"/>
                  <w:sz w:val="24"/>
                  <w:szCs w:val="24"/>
                </w:rPr>
                <w:lastRenderedPageBreak/>
                <w:t>статьи 462</w:t>
              </w:r>
            </w:hyperlink>
            <w:bookmarkEnd w:id="1"/>
            <w:r w:rsidRPr="00BF055A">
              <w:rPr>
                <w:sz w:val="24"/>
                <w:szCs w:val="24"/>
              </w:rPr>
              <w:t xml:space="preserve"> настоящего Кодекса, корректируется производителем подакцизного товара на объем подакцизного товара, реализованного на экспорт, в случае, если по такому подакцизному товару ранее уплачен акциз в связи с его перемещением, осуществленным производителем с указанного в лицензии адреса производства.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r w:rsidRPr="00BF055A">
              <w:rPr>
                <w:sz w:val="24"/>
                <w:szCs w:val="24"/>
              </w:rPr>
              <w:t>Корректировка налоговой базы, предусмотренной настоящим пунктом, производится в том налоговом периоде, в котором такой подакцизный товар реализован на экспорт.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r w:rsidRPr="00BF055A">
              <w:rPr>
                <w:sz w:val="24"/>
                <w:szCs w:val="24"/>
              </w:rPr>
              <w:t>При этом налоговая база с учетом такой корректировки может иметь отрицательное значение.</w:t>
            </w:r>
          </w:p>
          <w:p w:rsidR="009549A1" w:rsidRPr="00BF055A" w:rsidRDefault="009549A1" w:rsidP="007C53B8">
            <w:pPr>
              <w:spacing w:after="0" w:line="240" w:lineRule="auto"/>
              <w:ind w:firstLine="400"/>
              <w:jc w:val="both"/>
              <w:rPr>
                <w:rStyle w:val="s0"/>
              </w:rPr>
            </w:pP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r w:rsidRPr="00BF055A">
              <w:rPr>
                <w:rStyle w:val="s0"/>
              </w:rPr>
              <w:t xml:space="preserve">Примечание: </w:t>
            </w:r>
            <w:r w:rsidRPr="00BF055A">
              <w:rPr>
                <w:b/>
                <w:sz w:val="24"/>
                <w:szCs w:val="24"/>
              </w:rPr>
              <w:t>Статья 462</w:t>
            </w:r>
            <w:r w:rsidRPr="00BF055A">
              <w:rPr>
                <w:sz w:val="24"/>
                <w:szCs w:val="24"/>
              </w:rPr>
              <w:t xml:space="preserve">. Перечень </w:t>
            </w:r>
            <w:hyperlink r:id="rId9" w:history="1">
              <w:bookmarkStart w:id="2" w:name="sub1006049293"/>
              <w:r w:rsidRPr="00BF055A">
                <w:rPr>
                  <w:rStyle w:val="aa"/>
                  <w:sz w:val="24"/>
                  <w:szCs w:val="24"/>
                </w:rPr>
                <w:t>подакцизных товаров</w:t>
              </w:r>
            </w:hyperlink>
            <w:bookmarkEnd w:id="2"/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r w:rsidRPr="00BF055A">
              <w:rPr>
                <w:sz w:val="24"/>
                <w:szCs w:val="24"/>
              </w:rPr>
              <w:t>Если иное не установлено настоящей статьей, подакцизными товарами являются: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bookmarkStart w:id="3" w:name="SUB4620001"/>
            <w:bookmarkEnd w:id="3"/>
            <w:r w:rsidRPr="00BF055A">
              <w:rPr>
                <w:sz w:val="24"/>
                <w:szCs w:val="24"/>
              </w:rPr>
              <w:t>1) все виды спирта;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bookmarkStart w:id="4" w:name="SUB4620002"/>
            <w:bookmarkEnd w:id="4"/>
            <w:r w:rsidRPr="00BF055A">
              <w:rPr>
                <w:sz w:val="24"/>
                <w:szCs w:val="24"/>
              </w:rPr>
              <w:t>2) алкогольная продукция;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bookmarkStart w:id="5" w:name="SUB4620003"/>
            <w:bookmarkEnd w:id="5"/>
            <w:r w:rsidRPr="00BF055A">
              <w:rPr>
                <w:sz w:val="24"/>
                <w:szCs w:val="24"/>
              </w:rPr>
              <w:t>3) табачные изделия;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bookmarkStart w:id="6" w:name="SUB4620004"/>
            <w:bookmarkEnd w:id="6"/>
            <w:r w:rsidRPr="00BF055A">
              <w:rPr>
                <w:sz w:val="24"/>
                <w:szCs w:val="24"/>
              </w:rPr>
              <w:t xml:space="preserve">4) </w:t>
            </w:r>
            <w:hyperlink r:id="rId10" w:history="1">
              <w:bookmarkStart w:id="7" w:name="sub1006432229"/>
              <w:r w:rsidRPr="00BF055A">
                <w:rPr>
                  <w:rStyle w:val="aa"/>
                  <w:sz w:val="24"/>
                  <w:szCs w:val="24"/>
                </w:rPr>
                <w:t>изделия с нагреваемым табаком</w:t>
              </w:r>
            </w:hyperlink>
            <w:bookmarkEnd w:id="7"/>
            <w:r w:rsidRPr="00BF055A">
              <w:rPr>
                <w:sz w:val="24"/>
                <w:szCs w:val="24"/>
              </w:rPr>
              <w:t xml:space="preserve">, никотиносодержащие жидкости для использования в </w:t>
            </w:r>
            <w:hyperlink r:id="rId11" w:history="1">
              <w:bookmarkStart w:id="8" w:name="sub1006432878"/>
              <w:r w:rsidRPr="00BF055A">
                <w:rPr>
                  <w:rStyle w:val="aa"/>
                  <w:sz w:val="24"/>
                  <w:szCs w:val="24"/>
                </w:rPr>
                <w:t>электронных сигаретах</w:t>
              </w:r>
            </w:hyperlink>
            <w:bookmarkEnd w:id="8"/>
            <w:r w:rsidRPr="00BF055A">
              <w:rPr>
                <w:sz w:val="24"/>
                <w:szCs w:val="24"/>
              </w:rPr>
              <w:t>;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bookmarkStart w:id="9" w:name="SUB4620005"/>
            <w:bookmarkEnd w:id="9"/>
            <w:r w:rsidRPr="00BF055A">
              <w:rPr>
                <w:sz w:val="24"/>
                <w:szCs w:val="24"/>
              </w:rPr>
              <w:t xml:space="preserve">5) </w:t>
            </w:r>
            <w:hyperlink r:id="rId12" w:history="1">
              <w:bookmarkStart w:id="10" w:name="sub1006172026"/>
              <w:r w:rsidRPr="00BF055A">
                <w:rPr>
                  <w:rStyle w:val="aa"/>
                  <w:sz w:val="24"/>
                  <w:szCs w:val="24"/>
                </w:rPr>
                <w:t xml:space="preserve">бензин (за исключением </w:t>
              </w:r>
              <w:r w:rsidRPr="00BF055A">
                <w:rPr>
                  <w:rStyle w:val="aa"/>
                  <w:sz w:val="24"/>
                  <w:szCs w:val="24"/>
                </w:rPr>
                <w:lastRenderedPageBreak/>
                <w:t>авиационного), дизельное топливо</w:t>
              </w:r>
            </w:hyperlink>
            <w:bookmarkEnd w:id="10"/>
            <w:r w:rsidRPr="00BF055A">
              <w:rPr>
                <w:sz w:val="24"/>
                <w:szCs w:val="24"/>
              </w:rPr>
              <w:t>;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rStyle w:val="s0"/>
                <w:b/>
                <w:bCs/>
                <w:lang w:val="en-US"/>
              </w:rPr>
            </w:pPr>
            <w:r w:rsidRPr="00BF055A">
              <w:rPr>
                <w:rStyle w:val="s0"/>
                <w:b/>
                <w:bCs/>
                <w:lang w:val="en-US"/>
              </w:rPr>
              <w:t>…</w:t>
            </w:r>
          </w:p>
        </w:tc>
        <w:tc>
          <w:tcPr>
            <w:tcW w:w="4679" w:type="dxa"/>
          </w:tcPr>
          <w:p w:rsidR="009549A1" w:rsidRPr="009549A1" w:rsidRDefault="009549A1" w:rsidP="007C53B8">
            <w:pPr>
              <w:spacing w:after="0" w:line="240" w:lineRule="auto"/>
              <w:rPr>
                <w:rStyle w:val="s0"/>
                <w:b/>
              </w:rPr>
            </w:pPr>
            <w:r w:rsidRPr="009549A1">
              <w:rPr>
                <w:rStyle w:val="s0"/>
                <w:b/>
                <w:bCs/>
              </w:rPr>
              <w:lastRenderedPageBreak/>
              <w:t>Статья 473. Корректировка налоговой базы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r w:rsidRPr="00BF055A">
              <w:rPr>
                <w:rStyle w:val="s0"/>
              </w:rPr>
              <w:t>2. Налоговая база по подакцизн</w:t>
            </w:r>
            <w:r w:rsidRPr="00BF055A">
              <w:rPr>
                <w:rStyle w:val="s0"/>
                <w:b/>
              </w:rPr>
              <w:t>ым</w:t>
            </w:r>
            <w:r w:rsidRPr="00BF055A">
              <w:rPr>
                <w:rStyle w:val="s0"/>
              </w:rPr>
              <w:t xml:space="preserve"> товар</w:t>
            </w:r>
            <w:r w:rsidRPr="00BF055A">
              <w:rPr>
                <w:rStyle w:val="s0"/>
                <w:b/>
              </w:rPr>
              <w:t>ам</w:t>
            </w:r>
            <w:r w:rsidRPr="00BF055A">
              <w:rPr>
                <w:rStyle w:val="s0"/>
              </w:rPr>
              <w:t>, указанн</w:t>
            </w:r>
            <w:r w:rsidRPr="00BF055A">
              <w:rPr>
                <w:rStyle w:val="s0"/>
                <w:b/>
              </w:rPr>
              <w:t>ым</w:t>
            </w:r>
            <w:r w:rsidRPr="00BF055A">
              <w:rPr>
                <w:rStyle w:val="s0"/>
              </w:rPr>
              <w:t xml:space="preserve"> в </w:t>
            </w:r>
            <w:r w:rsidRPr="00BF055A">
              <w:rPr>
                <w:rStyle w:val="ad"/>
                <w:bCs/>
                <w:sz w:val="24"/>
                <w:szCs w:val="24"/>
              </w:rPr>
              <w:t>подпункт</w:t>
            </w:r>
            <w:r w:rsidRPr="00BF055A">
              <w:rPr>
                <w:rStyle w:val="ad"/>
                <w:b/>
                <w:bCs/>
                <w:sz w:val="24"/>
                <w:szCs w:val="24"/>
              </w:rPr>
              <w:t>ах</w:t>
            </w:r>
            <w:r w:rsidRPr="00BF055A">
              <w:rPr>
                <w:rStyle w:val="ad"/>
                <w:bCs/>
                <w:sz w:val="24"/>
                <w:szCs w:val="24"/>
              </w:rPr>
              <w:t xml:space="preserve"> </w:t>
            </w:r>
            <w:r w:rsidRPr="00BF055A">
              <w:rPr>
                <w:rStyle w:val="ad"/>
                <w:b/>
                <w:bCs/>
                <w:sz w:val="24"/>
                <w:szCs w:val="24"/>
              </w:rPr>
              <w:t xml:space="preserve">2) и </w:t>
            </w:r>
            <w:r w:rsidRPr="00BF055A">
              <w:rPr>
                <w:rStyle w:val="ad"/>
                <w:bCs/>
                <w:sz w:val="24"/>
                <w:szCs w:val="24"/>
              </w:rPr>
              <w:t xml:space="preserve">3) </w:t>
            </w:r>
            <w:r w:rsidRPr="00BF055A">
              <w:rPr>
                <w:rStyle w:val="ad"/>
                <w:bCs/>
                <w:sz w:val="24"/>
                <w:szCs w:val="24"/>
              </w:rPr>
              <w:lastRenderedPageBreak/>
              <w:t xml:space="preserve">статьи 462 </w:t>
            </w:r>
            <w:r w:rsidRPr="00BF055A">
              <w:rPr>
                <w:rStyle w:val="s0"/>
              </w:rPr>
              <w:t xml:space="preserve">настоящего Кодекса, </w:t>
            </w:r>
            <w:r w:rsidRPr="00BF055A">
              <w:rPr>
                <w:sz w:val="24"/>
                <w:szCs w:val="24"/>
              </w:rPr>
              <w:t>корректируется производителем подакцизного товара на объем подакцизного товара, реализованного на экспорт, в случае, если по такому подакцизному товару ранее уплачен акциз в связи с его перемещением, осуществленным производителем с указанного в лицензии адреса производства.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r w:rsidRPr="00BF055A">
              <w:rPr>
                <w:sz w:val="24"/>
                <w:szCs w:val="24"/>
              </w:rPr>
              <w:t>Корректировка налоговой базы, предусмотренной настоящим пунктом, производится в том налоговом периоде, в котором такой подакцизный товар реализован на экспорт.</w:t>
            </w:r>
          </w:p>
          <w:p w:rsidR="009549A1" w:rsidRPr="00BF055A" w:rsidRDefault="009549A1" w:rsidP="007C53B8">
            <w:pPr>
              <w:spacing w:after="0" w:line="240" w:lineRule="auto"/>
              <w:rPr>
                <w:sz w:val="24"/>
                <w:szCs w:val="24"/>
              </w:rPr>
            </w:pPr>
            <w:r w:rsidRPr="00BF055A">
              <w:rPr>
                <w:sz w:val="24"/>
                <w:szCs w:val="24"/>
              </w:rPr>
              <w:t>При этом налоговая база с учетом такой корректировки может иметь отрицательное значение.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rStyle w:val="s0"/>
                <w:b/>
                <w:bCs/>
              </w:rPr>
            </w:pP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rStyle w:val="s0"/>
                <w:b/>
                <w:bCs/>
              </w:rPr>
            </w:pPr>
          </w:p>
        </w:tc>
        <w:tc>
          <w:tcPr>
            <w:tcW w:w="4536" w:type="dxa"/>
          </w:tcPr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F055A">
              <w:rPr>
                <w:bCs/>
                <w:sz w:val="24"/>
                <w:szCs w:val="24"/>
              </w:rPr>
              <w:lastRenderedPageBreak/>
              <w:t xml:space="preserve">Экспорт подакцизных товаров подлежит освобождению от косвенных налогов, т.е. от НДС и акциза, при условии соблюдения требований налогового </w:t>
            </w:r>
            <w:r w:rsidRPr="00BF055A">
              <w:rPr>
                <w:bCs/>
                <w:sz w:val="24"/>
                <w:szCs w:val="24"/>
              </w:rPr>
              <w:lastRenderedPageBreak/>
              <w:t xml:space="preserve">законодательства, включая соответствующее подтверждение. 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F055A">
              <w:rPr>
                <w:bCs/>
                <w:sz w:val="24"/>
                <w:szCs w:val="24"/>
              </w:rPr>
              <w:t>На основании Налогового Кодекса Республики Казахстан (НК РК), акциз уплачивается при перемещение товара, т.е. до момента реализации.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F055A">
              <w:rPr>
                <w:bCs/>
                <w:sz w:val="24"/>
                <w:szCs w:val="24"/>
              </w:rPr>
              <w:t xml:space="preserve">В случае реализации алкогольной продукции на экспорт, по которой ранее был оплачен акциз при перемещении внутри организации, законодательством не предусмотрена возможность освобождения или корректировки такого акциза. 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F055A">
              <w:rPr>
                <w:bCs/>
                <w:sz w:val="24"/>
                <w:szCs w:val="24"/>
              </w:rPr>
              <w:t xml:space="preserve">Внутреннее перемещение возникает по ряду причин. В частности, из- за перемещения товара от структурного подразделения на склад юридического лица так как, законодатель ограничил структурные подразделения в экспортных операция, предусмотрев в Законе Республики Казахстан от 16 июля 1999 года № 429-I «О государственном регулировании производства и оборота этилового спирта и алкогольной продукции» право на проведение экспорта только для юридических лиц, которыми филиалы и представительства не являются. Также, в НК РК право на освобождение экспортных операций предусмотрено только для «налогоплательщиков», которыми для целей акциза на основании статьей 461 </w:t>
            </w:r>
            <w:r w:rsidRPr="00BF055A">
              <w:rPr>
                <w:bCs/>
                <w:sz w:val="24"/>
                <w:szCs w:val="24"/>
              </w:rPr>
              <w:lastRenderedPageBreak/>
              <w:t xml:space="preserve">НК РК являются юридические лица, таким образом, формально лишив филиалы возможности применить освобождение. 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F055A">
              <w:rPr>
                <w:bCs/>
                <w:sz w:val="24"/>
                <w:szCs w:val="24"/>
              </w:rPr>
              <w:t xml:space="preserve">Так как основным и персептивным направлением для экспорта являются такие страны как Китай, Страны центральной Азии, то с точки зрение логистики отгрузка из центральной части Казахстана не является выгодным условием поставки и увеличивает стоимость товара, тем самым снижает его конкурентоспособность.  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F055A">
              <w:rPr>
                <w:bCs/>
                <w:sz w:val="24"/>
                <w:szCs w:val="24"/>
              </w:rPr>
              <w:t xml:space="preserve">Внутреннее перемещение неизбежно вызвано еще тем, что не вся линейка брендов или типов продукции, производиться головным предприятием и/или филиалом. Груз формируется исходя из запроса покупателя, и партия может включать в себя различный товар, в большинстве случаев, это товар произведёнными разными заводами, каждый из который имеет лицензию и производит свою линейку, в зависимости от наличия того или иного оборудования.    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F055A">
              <w:rPr>
                <w:bCs/>
                <w:sz w:val="24"/>
                <w:szCs w:val="24"/>
              </w:rPr>
              <w:t xml:space="preserve">В Налоговом Законодательстве   предусматривается ряд способов устранения двойного налогообложения акцизами включая вычет налога или корректировку налоговой базы для различных подакцизных товаров при </w:t>
            </w:r>
            <w:r w:rsidRPr="00BF055A">
              <w:rPr>
                <w:bCs/>
                <w:sz w:val="24"/>
                <w:szCs w:val="24"/>
              </w:rPr>
              <w:lastRenderedPageBreak/>
              <w:t xml:space="preserve">разных ситуациях. 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F055A">
              <w:rPr>
                <w:bCs/>
                <w:sz w:val="24"/>
                <w:szCs w:val="24"/>
              </w:rPr>
              <w:t xml:space="preserve">Так, например, для табачной отрасли согласно указанной статьи 462 п. 2 предусматривается корректировка акциза на объем подакцизного товара, реализованного на экспорт для производителя. </w:t>
            </w: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9549A1" w:rsidRPr="00BF055A" w:rsidRDefault="009549A1" w:rsidP="007C53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055A">
              <w:rPr>
                <w:bCs/>
                <w:sz w:val="24"/>
                <w:szCs w:val="24"/>
              </w:rPr>
              <w:t>Данное предложение имеет целью устранить барьер для экспортеров алкогольной продукции, что послужит увеличению объемов экспорта (поддержка и развитие экспорта является одним из приоритетных направлений, определенных Главой Государства), и соответственно повышению объемов производства, налогооблагаемой базы и поступлений в бюджет через корпоративные налоги.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Эфес</w:t>
            </w:r>
          </w:p>
        </w:tc>
      </w:tr>
      <w:tr w:rsidR="009549A1" w:rsidRPr="00A8482C" w:rsidTr="008272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п. 7-1. ст. 490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490. Налогоплательщики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7-1. отсутствует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490. Налогоплательщики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7-1. Доверительный управляющий п</w:t>
            </w: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о деятельности по доверительному управлению</w:t>
            </w:r>
            <w:r w:rsidRPr="00E1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одновременном соблюдении условий пункта 1-1 статьи 41 настоящего Кодекса, вправе быть плательщиком налога на транспортные средства, если исполнение налогового обязательства возложено договором доверительного управления имуществом на доверительного управляющего</w:t>
            </w: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Связано с внесением нового пункта 1-1 в ст.41 НК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A1" w:rsidRPr="00E148ED" w:rsidRDefault="009549A1" w:rsidP="007C53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</w:p>
          <w:p w:rsidR="009549A1" w:rsidRPr="00E148ED" w:rsidRDefault="009549A1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A1" w:rsidRPr="00A8482C" w:rsidTr="00E0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Статья 492. </w:t>
            </w:r>
          </w:p>
        </w:tc>
        <w:tc>
          <w:tcPr>
            <w:tcW w:w="4252" w:type="dxa"/>
          </w:tcPr>
          <w:tbl>
            <w:tblPr>
              <w:tblpPr w:leftFromText="180" w:rightFromText="180" w:horzAnchor="margin" w:tblpY="945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1749"/>
              <w:gridCol w:w="1657"/>
            </w:tblGrid>
            <w:tr w:rsidR="009549A1" w:rsidRPr="00E148ED" w:rsidTr="001971B0">
              <w:tc>
                <w:tcPr>
                  <w:tcW w:w="75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1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налогообложения</w:t>
                  </w:r>
                </w:p>
              </w:tc>
              <w:tc>
                <w:tcPr>
                  <w:tcW w:w="20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Налоговая ставка (месячный расчетный показатель)</w:t>
                  </w:r>
                </w:p>
              </w:tc>
            </w:tr>
            <w:tr w:rsidR="009549A1" w:rsidRPr="00E148ED" w:rsidTr="001971B0">
              <w:tc>
                <w:tcPr>
                  <w:tcW w:w="75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549A1" w:rsidRPr="00E148ED" w:rsidTr="001971B0">
              <w:tc>
                <w:tcPr>
                  <w:tcW w:w="75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2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Летательные аппараты</w:t>
                  </w:r>
                </w:p>
              </w:tc>
              <w:tc>
                <w:tcPr>
                  <w:tcW w:w="20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 процента от месячного расчетного показателя с каждого киловатта мощности</w:t>
                  </w:r>
                </w:p>
              </w:tc>
            </w:tr>
          </w:tbl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Статья 492. Налоговые ставки</w:t>
            </w:r>
          </w:p>
        </w:tc>
        <w:tc>
          <w:tcPr>
            <w:tcW w:w="4679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2194"/>
              <w:gridCol w:w="1715"/>
            </w:tblGrid>
            <w:tr w:rsidR="009549A1" w:rsidRPr="00E148ED" w:rsidTr="001971B0">
              <w:tc>
                <w:tcPr>
                  <w:tcW w:w="60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46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налогообложения</w:t>
                  </w:r>
                </w:p>
              </w:tc>
              <w:tc>
                <w:tcPr>
                  <w:tcW w:w="193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Налоговая ставка (месячный расчетный показатель)</w:t>
                  </w: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Летательные аппараты: </w:t>
                  </w:r>
                  <w:r w:rsidRPr="00E148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с турбовинтовыми двигателями</w:t>
                  </w: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 процента от месячного расчетного показателя с каждого киловатта мощности</w:t>
                  </w: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148ED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с реактивными двигателями по максимальной взлетной массе (кг)</w:t>
                  </w:r>
                  <w:r w:rsidRPr="00E148ED">
                    <w:rPr>
                      <w:rStyle w:val="s0"/>
                      <w:b/>
                      <w:highlight w:val="yellow"/>
                    </w:rPr>
                    <w:t>:</w:t>
                  </w: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highlight w:val="yellow"/>
                    </w:rPr>
                  </w:pPr>
                  <w:r w:rsidRPr="00E148ED">
                    <w:rPr>
                      <w:b/>
                      <w:highlight w:val="yellow"/>
                    </w:rPr>
                    <w:t>до 50 000 включительно</w:t>
                  </w:r>
                </w:p>
              </w:tc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j11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highlight w:val="yellow"/>
                    </w:rPr>
                  </w:pPr>
                  <w:r w:rsidRPr="00E148ED">
                    <w:rPr>
                      <w:b/>
                      <w:highlight w:val="yellow"/>
                    </w:rPr>
                    <w:t>1,2 процента от месячного расчетного показателя с размера взлетной массы</w:t>
                  </w:r>
                </w:p>
              </w:tc>
            </w:tr>
            <w:tr w:rsidR="009549A1" w:rsidRPr="00E148ED" w:rsidTr="001971B0">
              <w:trPr>
                <w:trHeight w:val="1824"/>
              </w:trPr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highlight w:val="yellow"/>
                    </w:rPr>
                  </w:pPr>
                  <w:r w:rsidRPr="00E148ED">
                    <w:rPr>
                      <w:b/>
                      <w:highlight w:val="yellow"/>
                    </w:rPr>
                    <w:t>свыше 50 000 до 100 000 включительно</w:t>
                  </w:r>
                </w:p>
              </w:tc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j11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highlight w:val="yellow"/>
                    </w:rPr>
                  </w:pPr>
                  <w:r w:rsidRPr="00E148ED">
                    <w:rPr>
                      <w:b/>
                      <w:highlight w:val="yellow"/>
                    </w:rPr>
                    <w:t>0,6 процента от месячного расчетного показателя с размера взлетной массы</w:t>
                  </w:r>
                </w:p>
              </w:tc>
            </w:tr>
            <w:tr w:rsidR="009549A1" w:rsidRPr="00E148ED" w:rsidTr="001971B0">
              <w:trPr>
                <w:trHeight w:val="2007"/>
              </w:trPr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color w:val="000000"/>
                      <w:highlight w:val="yellow"/>
                    </w:rPr>
                  </w:pPr>
                  <w:r w:rsidRPr="00E148ED">
                    <w:rPr>
                      <w:rStyle w:val="s0"/>
                      <w:b/>
                      <w:highlight w:val="yellow"/>
                    </w:rPr>
                    <w:t>свыше 100 000</w:t>
                  </w:r>
                </w:p>
              </w:tc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j11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highlight w:val="yellow"/>
                    </w:rPr>
                  </w:pPr>
                  <w:r w:rsidRPr="00E148ED">
                    <w:rPr>
                      <w:rStyle w:val="s0"/>
                      <w:b/>
                      <w:highlight w:val="yellow"/>
                    </w:rPr>
                    <w:t xml:space="preserve">0,5 </w:t>
                  </w:r>
                  <w:r w:rsidRPr="00E148ED">
                    <w:rPr>
                      <w:b/>
                      <w:color w:val="000000"/>
                      <w:highlight w:val="yellow"/>
                      <w:shd w:val="clear" w:color="auto" w:fill="FFFFFF"/>
                    </w:rPr>
                    <w:t>процента от месячного расчетного показателя с размера взлетной массы</w:t>
                  </w: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rStyle w:val="s0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j11"/>
                    <w:spacing w:before="0" w:beforeAutospacing="0" w:after="0" w:afterAutospacing="0"/>
                    <w:jc w:val="center"/>
                    <w:textAlignment w:val="baseline"/>
                    <w:rPr>
                      <w:rStyle w:val="s0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rStyle w:val="s0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9A1" w:rsidRPr="00E148ED" w:rsidRDefault="009549A1" w:rsidP="007C53B8">
                  <w:pPr>
                    <w:pStyle w:val="j11"/>
                    <w:spacing w:before="0" w:beforeAutospacing="0" w:after="0" w:afterAutospacing="0"/>
                    <w:jc w:val="center"/>
                    <w:textAlignment w:val="baseline"/>
                    <w:rPr>
                      <w:rStyle w:val="s0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549A1" w:rsidRPr="00E148ED" w:rsidTr="001971B0">
              <w:tc>
                <w:tcPr>
                  <w:tcW w:w="6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549A1" w:rsidRPr="00E148ED" w:rsidRDefault="009549A1" w:rsidP="007C53B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549A1" w:rsidRPr="00E148ED" w:rsidRDefault="009549A1" w:rsidP="007C5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действующей редакции Налогового кодекса при исчислении налога на транспортные средства, а именно на летательные аппараты, предусмотрена единица измерения киловатт мощности двигателя. 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Указанная единица измерения не одинаково применима для всех типов двигателей, т.к.: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1.    Для реактивных двигателей сила тяги измеряется в килограммах (pound), параметр «Сила Тяги» реактивного двигателя предоставляется производителем в Lb (pound). Переводить килограммы в киловатты не совсем корректно и достоверно.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2.    Для турбовинтовых/поршневых двигателей при расчете мощности применяется киловатт (лошадиные силы, ньютоны). 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В зависимости от конструкции двигателя принцип расчета различается от режима летательного аппарата, т.е. при взлете применяется максимальная мощность, а при режиме полет, который занимает большее количество времени, используется тяга поменьше.  То есть, даже если для различных видов двигателей предусмотреть различные единицы измерения мощности, то информация также не будет 100% корректной, вследствие различных режимов полета.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наличием различных видов самолетов, двигателей и режимов </w:t>
            </w: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 внести единицей измерения максимальную взлетную массу, данная единица применима для всех видов воздушных судов не зависимо от вида двигателя, она указывается в технической документации к воздушным судам. Также данная единица измерения применяется при расчете суммы аэропортовых услуг: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1.    Взлет-посадка;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2.    Встреча-выпуск;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3.    Обеспечение безопасности;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4.    Базирование ВС;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5.    Стоянка ВС.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качестве основы для исчисления налоговой ставки необходимо использовать не данные о киловаттах мощности, и не данные о балансовой стоимости, а данные о максимальной взлетной массе. </w:t>
            </w:r>
          </w:p>
          <w:p w:rsidR="009549A1" w:rsidRPr="00E148ED" w:rsidRDefault="009549A1" w:rsidP="007C53B8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Данная налоговая база поможет облегчить администрирование, так как значение максимальной взлетной массы четко установлено в технической документации к ВС, не потребуются дополнительные расчеты, как в случае с применением киловатта мощности двигателя, который не одинаково применим для всех типов двигателей и величина которого различна в зависимости от режима работы. Кроме того, изменение базы для расчета не повлечет снижений поступлений в бюджет.</w:t>
            </w:r>
          </w:p>
          <w:p w:rsidR="009549A1" w:rsidRPr="00E148ED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изменении единицы измерения, </w:t>
            </w: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пересмотреть налоговую ставку, т.к. мощность отличается от МВМ, и при исчислении налога по МВМ и применении ставки 4%, налоговая нагрузка может увеличиться в 8 раз, в связи с этим необходимо внедрить дифференцированную ставку по мере увеличения взлетной массы.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«Эйр Астана»</w:t>
            </w:r>
          </w:p>
          <w:p w:rsidR="0048704A" w:rsidRDefault="0048704A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04A" w:rsidRPr="00E148ED" w:rsidRDefault="0048704A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УНП</w:t>
            </w:r>
            <w:bookmarkStart w:id="11" w:name="_GoBack"/>
            <w:bookmarkEnd w:id="11"/>
          </w:p>
          <w:p w:rsidR="009549A1" w:rsidRPr="00E148ED" w:rsidRDefault="009549A1" w:rsidP="007C53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9A1" w:rsidRPr="00A8482C" w:rsidTr="00E0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549A1" w:rsidRPr="00A8482C" w:rsidRDefault="009549A1" w:rsidP="007C5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9549A1" w:rsidRPr="00A8482C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79" w:type="dxa"/>
          </w:tcPr>
          <w:p w:rsidR="009549A1" w:rsidRPr="00A8482C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9549A1" w:rsidRPr="00A8482C" w:rsidRDefault="009549A1" w:rsidP="007C53B8">
            <w:pPr>
              <w:pStyle w:val="j13"/>
              <w:shd w:val="clear" w:color="auto" w:fill="FFFFFF"/>
              <w:spacing w:before="0" w:beforeAutospacing="0" w:after="0" w:afterAutospacing="0"/>
              <w:ind w:firstLine="360"/>
              <w:jc w:val="both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9A1" w:rsidRPr="00A8482C" w:rsidTr="00E0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549A1" w:rsidRPr="00A8482C" w:rsidRDefault="009549A1" w:rsidP="007C5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9549A1" w:rsidRPr="00A8482C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79" w:type="dxa"/>
          </w:tcPr>
          <w:p w:rsidR="009549A1" w:rsidRPr="00A8482C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9549A1" w:rsidRPr="00A8482C" w:rsidRDefault="009549A1" w:rsidP="007C53B8">
            <w:pPr>
              <w:pStyle w:val="j13"/>
              <w:shd w:val="clear" w:color="auto" w:fill="FFFFFF"/>
              <w:spacing w:before="0" w:beforeAutospacing="0" w:after="0" w:afterAutospacing="0"/>
              <w:ind w:firstLine="360"/>
              <w:jc w:val="both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9A1" w:rsidRPr="00A8482C" w:rsidTr="00E0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549A1" w:rsidRPr="00A8482C" w:rsidRDefault="009549A1" w:rsidP="007C5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9549A1" w:rsidRPr="00A8482C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79" w:type="dxa"/>
          </w:tcPr>
          <w:p w:rsidR="009549A1" w:rsidRPr="00A8482C" w:rsidRDefault="009549A1" w:rsidP="007C53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9549A1" w:rsidRPr="00A8482C" w:rsidRDefault="009549A1" w:rsidP="007C53B8">
            <w:pPr>
              <w:pStyle w:val="j13"/>
              <w:shd w:val="clear" w:color="auto" w:fill="FFFFFF"/>
              <w:spacing w:before="0" w:beforeAutospacing="0" w:after="0" w:afterAutospacing="0"/>
              <w:ind w:firstLine="360"/>
              <w:jc w:val="both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A1" w:rsidRPr="00A8482C" w:rsidRDefault="009549A1" w:rsidP="007C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81C44" w:rsidRPr="00A8482C" w:rsidRDefault="00881C44" w:rsidP="007C53B8">
      <w:pPr>
        <w:spacing w:after="0" w:line="240" w:lineRule="auto"/>
        <w:rPr>
          <w:lang w:val="en-US"/>
        </w:rPr>
      </w:pPr>
    </w:p>
    <w:sectPr w:rsidR="00881C44" w:rsidRPr="00A8482C" w:rsidSect="00F72829">
      <w:footerReference w:type="defaul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CE" w:rsidRDefault="00947BCE" w:rsidP="007C53B8">
      <w:pPr>
        <w:spacing w:after="0" w:line="240" w:lineRule="auto"/>
      </w:pPr>
      <w:r>
        <w:separator/>
      </w:r>
    </w:p>
  </w:endnote>
  <w:endnote w:type="continuationSeparator" w:id="0">
    <w:p w:rsidR="00947BCE" w:rsidRDefault="00947BCE" w:rsidP="007C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574483"/>
      <w:docPartObj>
        <w:docPartGallery w:val="Page Numbers (Bottom of Page)"/>
        <w:docPartUnique/>
      </w:docPartObj>
    </w:sdtPr>
    <w:sdtEndPr/>
    <w:sdtContent>
      <w:p w:rsidR="007C53B8" w:rsidRDefault="007C53B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04A">
          <w:rPr>
            <w:noProof/>
          </w:rPr>
          <w:t>11</w:t>
        </w:r>
        <w:r>
          <w:fldChar w:fldCharType="end"/>
        </w:r>
      </w:p>
    </w:sdtContent>
  </w:sdt>
  <w:p w:rsidR="007C53B8" w:rsidRDefault="007C53B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CE" w:rsidRDefault="00947BCE" w:rsidP="007C53B8">
      <w:pPr>
        <w:spacing w:after="0" w:line="240" w:lineRule="auto"/>
      </w:pPr>
      <w:r>
        <w:separator/>
      </w:r>
    </w:p>
  </w:footnote>
  <w:footnote w:type="continuationSeparator" w:id="0">
    <w:p w:rsidR="00947BCE" w:rsidRDefault="00947BCE" w:rsidP="007C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743"/>
    <w:multiLevelType w:val="multilevel"/>
    <w:tmpl w:val="1F7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96F54"/>
    <w:multiLevelType w:val="hybridMultilevel"/>
    <w:tmpl w:val="AE684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490"/>
    <w:multiLevelType w:val="hybridMultilevel"/>
    <w:tmpl w:val="D96E08BC"/>
    <w:lvl w:ilvl="0" w:tplc="ED86B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D937D7"/>
    <w:multiLevelType w:val="multilevel"/>
    <w:tmpl w:val="E808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462CB"/>
    <w:multiLevelType w:val="hybridMultilevel"/>
    <w:tmpl w:val="1A4E6E38"/>
    <w:lvl w:ilvl="0" w:tplc="BB7E6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D21AA"/>
    <w:multiLevelType w:val="hybridMultilevel"/>
    <w:tmpl w:val="A258AB16"/>
    <w:lvl w:ilvl="0" w:tplc="18CE1D5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2B871B95"/>
    <w:multiLevelType w:val="hybridMultilevel"/>
    <w:tmpl w:val="344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729F6"/>
    <w:multiLevelType w:val="hybridMultilevel"/>
    <w:tmpl w:val="D5EA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2683D"/>
    <w:multiLevelType w:val="multilevel"/>
    <w:tmpl w:val="6FCE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C6D6C"/>
    <w:multiLevelType w:val="hybridMultilevel"/>
    <w:tmpl w:val="09C2B4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C4C769C"/>
    <w:multiLevelType w:val="hybridMultilevel"/>
    <w:tmpl w:val="5AD4FE6C"/>
    <w:lvl w:ilvl="0" w:tplc="A960511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1">
    <w:nsid w:val="3D134F57"/>
    <w:multiLevelType w:val="hybridMultilevel"/>
    <w:tmpl w:val="FBE8969E"/>
    <w:lvl w:ilvl="0" w:tplc="9C40C93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5A0A2B"/>
    <w:multiLevelType w:val="hybridMultilevel"/>
    <w:tmpl w:val="A258AB16"/>
    <w:lvl w:ilvl="0" w:tplc="18CE1D5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43303BD3"/>
    <w:multiLevelType w:val="hybridMultilevel"/>
    <w:tmpl w:val="5A5CCD00"/>
    <w:lvl w:ilvl="0" w:tplc="B2ACE2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437D576E"/>
    <w:multiLevelType w:val="multilevel"/>
    <w:tmpl w:val="C676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A2A5D"/>
    <w:multiLevelType w:val="multilevel"/>
    <w:tmpl w:val="DEE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90C73"/>
    <w:multiLevelType w:val="hybridMultilevel"/>
    <w:tmpl w:val="0A886C4C"/>
    <w:lvl w:ilvl="0" w:tplc="AF2CCF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33FB5"/>
    <w:multiLevelType w:val="hybridMultilevel"/>
    <w:tmpl w:val="A258AB16"/>
    <w:lvl w:ilvl="0" w:tplc="18CE1D5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>
    <w:nsid w:val="61AC44A1"/>
    <w:multiLevelType w:val="hybridMultilevel"/>
    <w:tmpl w:val="7C52D0EA"/>
    <w:lvl w:ilvl="0" w:tplc="53764500">
      <w:start w:val="1"/>
      <w:numFmt w:val="decimal"/>
      <w:lvlText w:val="%1)"/>
      <w:lvlJc w:val="left"/>
      <w:pPr>
        <w:ind w:left="75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80C4FD2"/>
    <w:multiLevelType w:val="hybridMultilevel"/>
    <w:tmpl w:val="8CC83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16038"/>
    <w:multiLevelType w:val="multilevel"/>
    <w:tmpl w:val="400C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D1FB7"/>
    <w:multiLevelType w:val="multilevel"/>
    <w:tmpl w:val="E9A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874E2A"/>
    <w:multiLevelType w:val="hybridMultilevel"/>
    <w:tmpl w:val="D46A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D65F8"/>
    <w:multiLevelType w:val="hybridMultilevel"/>
    <w:tmpl w:val="1E589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564D3"/>
    <w:multiLevelType w:val="multilevel"/>
    <w:tmpl w:val="A32C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4"/>
  </w:num>
  <w:num w:numId="5">
    <w:abstractNumId w:val="12"/>
  </w:num>
  <w:num w:numId="6">
    <w:abstractNumId w:val="17"/>
  </w:num>
  <w:num w:numId="7">
    <w:abstractNumId w:val="16"/>
  </w:num>
  <w:num w:numId="8">
    <w:abstractNumId w:val="5"/>
  </w:num>
  <w:num w:numId="9">
    <w:abstractNumId w:val="18"/>
  </w:num>
  <w:num w:numId="10">
    <w:abstractNumId w:val="19"/>
  </w:num>
  <w:num w:numId="11">
    <w:abstractNumId w:val="6"/>
  </w:num>
  <w:num w:numId="12">
    <w:abstractNumId w:val="3"/>
  </w:num>
  <w:num w:numId="13">
    <w:abstractNumId w:val="21"/>
  </w:num>
  <w:num w:numId="14">
    <w:abstractNumId w:val="20"/>
  </w:num>
  <w:num w:numId="15">
    <w:abstractNumId w:val="24"/>
  </w:num>
  <w:num w:numId="16">
    <w:abstractNumId w:val="14"/>
  </w:num>
  <w:num w:numId="17">
    <w:abstractNumId w:val="15"/>
  </w:num>
  <w:num w:numId="18">
    <w:abstractNumId w:val="8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29"/>
    <w:rsid w:val="00031809"/>
    <w:rsid w:val="0008126B"/>
    <w:rsid w:val="00233100"/>
    <w:rsid w:val="002A76AC"/>
    <w:rsid w:val="0033243F"/>
    <w:rsid w:val="003E745D"/>
    <w:rsid w:val="0045745E"/>
    <w:rsid w:val="004738C1"/>
    <w:rsid w:val="0048704A"/>
    <w:rsid w:val="00492A5B"/>
    <w:rsid w:val="0051054C"/>
    <w:rsid w:val="0051457A"/>
    <w:rsid w:val="006A5474"/>
    <w:rsid w:val="0078255F"/>
    <w:rsid w:val="007C53A9"/>
    <w:rsid w:val="007C53B8"/>
    <w:rsid w:val="00881C44"/>
    <w:rsid w:val="009057AF"/>
    <w:rsid w:val="00947BCE"/>
    <w:rsid w:val="009549A1"/>
    <w:rsid w:val="00A8482C"/>
    <w:rsid w:val="00B45FA1"/>
    <w:rsid w:val="00C2632A"/>
    <w:rsid w:val="00C8262B"/>
    <w:rsid w:val="00D97598"/>
    <w:rsid w:val="00E428EE"/>
    <w:rsid w:val="00E45C55"/>
    <w:rsid w:val="00F72829"/>
    <w:rsid w:val="00FB583C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2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428EE"/>
    <w:pPr>
      <w:spacing w:before="240" w:after="200"/>
      <w:outlineLvl w:val="2"/>
    </w:pPr>
    <w:rPr>
      <w:rFonts w:ascii="Calibri" w:eastAsia="Times New Roman" w:hAnsi="Calibri" w:cs="Times New Roman"/>
      <w:b/>
      <w:bCs/>
      <w:color w:val="92D4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F728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aliases w:val="strich,2nd Tier Header,маркированный,Citation List"/>
    <w:basedOn w:val="a"/>
    <w:link w:val="a5"/>
    <w:uiPriority w:val="34"/>
    <w:qFormat/>
    <w:rsid w:val="00F72829"/>
    <w:pPr>
      <w:ind w:left="720"/>
      <w:contextualSpacing/>
    </w:pPr>
  </w:style>
  <w:style w:type="character" w:customStyle="1" w:styleId="a5">
    <w:name w:val="Абзац списка Знак"/>
    <w:aliases w:val="strich Знак,2nd Tier Header Знак,маркированный Знак,Citation List Знак"/>
    <w:link w:val="a4"/>
    <w:uiPriority w:val="34"/>
    <w:locked/>
    <w:rsid w:val="00F72829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4738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738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7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473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4738C1"/>
    <w:rPr>
      <w:rFonts w:ascii="Times New Roman" w:hAnsi="Times New Roman" w:cs="Times New Roman" w:hint="default"/>
      <w:b/>
      <w:bCs/>
      <w:color w:val="000000"/>
    </w:rPr>
  </w:style>
  <w:style w:type="character" w:styleId="aa">
    <w:name w:val="Hyperlink"/>
    <w:basedOn w:val="a0"/>
    <w:uiPriority w:val="99"/>
    <w:unhideWhenUsed/>
    <w:rsid w:val="002A76AC"/>
    <w:rPr>
      <w:color w:val="0563C1" w:themeColor="hyperlink"/>
      <w:u w:val="single"/>
    </w:rPr>
  </w:style>
  <w:style w:type="paragraph" w:customStyle="1" w:styleId="j111">
    <w:name w:val="j111"/>
    <w:basedOn w:val="a"/>
    <w:uiPriority w:val="99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76AC"/>
  </w:style>
  <w:style w:type="paragraph" w:customStyle="1" w:styleId="j13">
    <w:name w:val="j13"/>
    <w:basedOn w:val="a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4">
    <w:name w:val="j114"/>
    <w:basedOn w:val="a"/>
    <w:uiPriority w:val="99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rsid w:val="002A76AC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customStyle="1" w:styleId="j18">
    <w:name w:val="j18"/>
    <w:basedOn w:val="a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C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28EE"/>
    <w:rPr>
      <w:rFonts w:ascii="Calibri" w:eastAsia="Times New Roman" w:hAnsi="Calibri" w:cs="Times New Roman"/>
      <w:b/>
      <w:bCs/>
      <w:color w:val="92D400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42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Strong"/>
    <w:uiPriority w:val="22"/>
    <w:qFormat/>
    <w:rsid w:val="00E428EE"/>
    <w:rPr>
      <w:b/>
      <w:bCs/>
    </w:rPr>
  </w:style>
  <w:style w:type="paragraph" w:customStyle="1" w:styleId="j110">
    <w:name w:val="j110"/>
    <w:basedOn w:val="a"/>
    <w:rsid w:val="00E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E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78255F"/>
  </w:style>
  <w:style w:type="paragraph" w:styleId="ac">
    <w:name w:val="No Spacing"/>
    <w:uiPriority w:val="1"/>
    <w:qFormat/>
    <w:rsid w:val="00A8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84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a"/>
    <w:basedOn w:val="a0"/>
    <w:rsid w:val="009549A1"/>
  </w:style>
  <w:style w:type="paragraph" w:customStyle="1" w:styleId="j11">
    <w:name w:val="j11"/>
    <w:basedOn w:val="a"/>
    <w:rsid w:val="0095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C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53B8"/>
  </w:style>
  <w:style w:type="paragraph" w:styleId="af0">
    <w:name w:val="footer"/>
    <w:basedOn w:val="a"/>
    <w:link w:val="af1"/>
    <w:uiPriority w:val="99"/>
    <w:unhideWhenUsed/>
    <w:rsid w:val="007C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5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2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428EE"/>
    <w:pPr>
      <w:spacing w:before="240" w:after="200"/>
      <w:outlineLvl w:val="2"/>
    </w:pPr>
    <w:rPr>
      <w:rFonts w:ascii="Calibri" w:eastAsia="Times New Roman" w:hAnsi="Calibri" w:cs="Times New Roman"/>
      <w:b/>
      <w:bCs/>
      <w:color w:val="92D4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F728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aliases w:val="strich,2nd Tier Header,маркированный,Citation List"/>
    <w:basedOn w:val="a"/>
    <w:link w:val="a5"/>
    <w:uiPriority w:val="34"/>
    <w:qFormat/>
    <w:rsid w:val="00F72829"/>
    <w:pPr>
      <w:ind w:left="720"/>
      <w:contextualSpacing/>
    </w:pPr>
  </w:style>
  <w:style w:type="character" w:customStyle="1" w:styleId="a5">
    <w:name w:val="Абзац списка Знак"/>
    <w:aliases w:val="strich Знак,2nd Tier Header Знак,маркированный Знак,Citation List Знак"/>
    <w:link w:val="a4"/>
    <w:uiPriority w:val="34"/>
    <w:locked/>
    <w:rsid w:val="00F72829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4738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738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7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473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4738C1"/>
    <w:rPr>
      <w:rFonts w:ascii="Times New Roman" w:hAnsi="Times New Roman" w:cs="Times New Roman" w:hint="default"/>
      <w:b/>
      <w:bCs/>
      <w:color w:val="000000"/>
    </w:rPr>
  </w:style>
  <w:style w:type="character" w:styleId="aa">
    <w:name w:val="Hyperlink"/>
    <w:basedOn w:val="a0"/>
    <w:uiPriority w:val="99"/>
    <w:unhideWhenUsed/>
    <w:rsid w:val="002A76AC"/>
    <w:rPr>
      <w:color w:val="0563C1" w:themeColor="hyperlink"/>
      <w:u w:val="single"/>
    </w:rPr>
  </w:style>
  <w:style w:type="paragraph" w:customStyle="1" w:styleId="j111">
    <w:name w:val="j111"/>
    <w:basedOn w:val="a"/>
    <w:uiPriority w:val="99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76AC"/>
  </w:style>
  <w:style w:type="paragraph" w:customStyle="1" w:styleId="j13">
    <w:name w:val="j13"/>
    <w:basedOn w:val="a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4">
    <w:name w:val="j114"/>
    <w:basedOn w:val="a"/>
    <w:uiPriority w:val="99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rsid w:val="002A76AC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customStyle="1" w:styleId="j18">
    <w:name w:val="j18"/>
    <w:basedOn w:val="a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C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28EE"/>
    <w:rPr>
      <w:rFonts w:ascii="Calibri" w:eastAsia="Times New Roman" w:hAnsi="Calibri" w:cs="Times New Roman"/>
      <w:b/>
      <w:bCs/>
      <w:color w:val="92D400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42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Strong"/>
    <w:uiPriority w:val="22"/>
    <w:qFormat/>
    <w:rsid w:val="00E428EE"/>
    <w:rPr>
      <w:b/>
      <w:bCs/>
    </w:rPr>
  </w:style>
  <w:style w:type="paragraph" w:customStyle="1" w:styleId="j110">
    <w:name w:val="j110"/>
    <w:basedOn w:val="a"/>
    <w:rsid w:val="00E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E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78255F"/>
  </w:style>
  <w:style w:type="paragraph" w:styleId="ac">
    <w:name w:val="No Spacing"/>
    <w:uiPriority w:val="1"/>
    <w:qFormat/>
    <w:rsid w:val="00A8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84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a"/>
    <w:basedOn w:val="a0"/>
    <w:rsid w:val="009549A1"/>
  </w:style>
  <w:style w:type="paragraph" w:customStyle="1" w:styleId="j11">
    <w:name w:val="j11"/>
    <w:basedOn w:val="a"/>
    <w:rsid w:val="0095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C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53B8"/>
  </w:style>
  <w:style w:type="paragraph" w:styleId="af0">
    <w:name w:val="footer"/>
    <w:basedOn w:val="a"/>
    <w:link w:val="af1"/>
    <w:uiPriority w:val="99"/>
    <w:unhideWhenUsed/>
    <w:rsid w:val="007C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6148637.4620003%2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l:35424187.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36148637.10174.1006432878_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l:36148637.10141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6148637.462000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Мусафирова Шолпан Багитжановна</cp:lastModifiedBy>
  <cp:revision>2</cp:revision>
  <dcterms:created xsi:type="dcterms:W3CDTF">2018-12-15T08:57:00Z</dcterms:created>
  <dcterms:modified xsi:type="dcterms:W3CDTF">2018-12-15T08:57:00Z</dcterms:modified>
</cp:coreProperties>
</file>